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11F2E" w14:textId="77777777" w:rsidR="00F61F5B" w:rsidRPr="000811CC" w:rsidRDefault="00F61F5B" w:rsidP="00F61F5B">
      <w:pPr>
        <w:ind w:right="2400"/>
        <w:jc w:val="right"/>
        <w:rPr>
          <w:rFonts w:cs="Arial"/>
          <w:sz w:val="40"/>
        </w:rPr>
      </w:pPr>
    </w:p>
    <w:p w14:paraId="0D260C91" w14:textId="77777777" w:rsidR="00F61F5B" w:rsidRPr="000811CC" w:rsidRDefault="00F61F5B" w:rsidP="00F61F5B">
      <w:pPr>
        <w:ind w:right="2400"/>
        <w:jc w:val="right"/>
        <w:rPr>
          <w:rFonts w:cs="Arial"/>
          <w:sz w:val="40"/>
        </w:rPr>
      </w:pPr>
    </w:p>
    <w:p w14:paraId="07BCDCE3" w14:textId="77777777" w:rsidR="00F61F5B" w:rsidRPr="000811CC" w:rsidRDefault="00F61F5B" w:rsidP="00F61F5B">
      <w:pPr>
        <w:pStyle w:val="TOC1"/>
      </w:pPr>
      <w:r>
        <w:rPr>
          <w:rFonts w:cs="Arial"/>
          <w:noProof/>
          <w:color w:val="000000"/>
        </w:rPr>
        <w:drawing>
          <wp:anchor distT="0" distB="0" distL="114300" distR="114300" simplePos="0" relativeHeight="251659264" behindDoc="0" locked="0" layoutInCell="1" allowOverlap="1" wp14:anchorId="4504F002" wp14:editId="697850DE">
            <wp:simplePos x="0" y="0"/>
            <wp:positionH relativeFrom="column">
              <wp:posOffset>1943100</wp:posOffset>
            </wp:positionH>
            <wp:positionV relativeFrom="paragraph">
              <wp:posOffset>330200</wp:posOffset>
            </wp:positionV>
            <wp:extent cx="2057400" cy="19843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S_PROGRAM_logo.jpg"/>
                    <pic:cNvPicPr/>
                  </pic:nvPicPr>
                  <pic:blipFill>
                    <a:blip r:embed="rId7">
                      <a:extLst>
                        <a:ext uri="{28A0092B-C50C-407E-A947-70E740481C1C}">
                          <a14:useLocalDpi xmlns:a14="http://schemas.microsoft.com/office/drawing/2010/main" val="0"/>
                        </a:ext>
                      </a:extLst>
                    </a:blip>
                    <a:stretch>
                      <a:fillRect/>
                    </a:stretch>
                  </pic:blipFill>
                  <pic:spPr>
                    <a:xfrm>
                      <a:off x="0" y="0"/>
                      <a:ext cx="2057400" cy="1984375"/>
                    </a:xfrm>
                    <a:prstGeom prst="rect">
                      <a:avLst/>
                    </a:prstGeom>
                  </pic:spPr>
                </pic:pic>
              </a:graphicData>
            </a:graphic>
            <wp14:sizeRelH relativeFrom="page">
              <wp14:pctWidth>0</wp14:pctWidth>
            </wp14:sizeRelH>
            <wp14:sizeRelV relativeFrom="page">
              <wp14:pctHeight>0</wp14:pctHeight>
            </wp14:sizeRelV>
          </wp:anchor>
        </w:drawing>
      </w:r>
    </w:p>
    <w:p w14:paraId="7372AB81" w14:textId="77777777" w:rsidR="00F61F5B" w:rsidRPr="000811CC" w:rsidRDefault="00F61F5B" w:rsidP="00F61F5B">
      <w:pPr>
        <w:ind w:left="0" w:right="2400"/>
        <w:jc w:val="center"/>
        <w:rPr>
          <w:rFonts w:cs="Arial"/>
          <w:sz w:val="40"/>
        </w:rPr>
      </w:pPr>
    </w:p>
    <w:p w14:paraId="112A792A" w14:textId="77777777" w:rsidR="00F61F5B" w:rsidRPr="000811CC" w:rsidRDefault="00F61F5B" w:rsidP="00F61F5B">
      <w:pPr>
        <w:ind w:right="2400"/>
        <w:jc w:val="center"/>
        <w:rPr>
          <w:rFonts w:cs="Arial"/>
          <w:sz w:val="40"/>
        </w:rPr>
      </w:pPr>
    </w:p>
    <w:p w14:paraId="2576F921" w14:textId="77777777" w:rsidR="00F61F5B" w:rsidRPr="000811CC" w:rsidRDefault="00F61F5B" w:rsidP="00F61F5B">
      <w:pPr>
        <w:ind w:left="0"/>
        <w:jc w:val="center"/>
        <w:rPr>
          <w:rFonts w:cs="Arial"/>
          <w:sz w:val="40"/>
        </w:rPr>
      </w:pPr>
    </w:p>
    <w:p w14:paraId="60403BA8" w14:textId="77777777" w:rsidR="00F61F5B" w:rsidRPr="000811CC" w:rsidRDefault="002B711D" w:rsidP="00F61F5B">
      <w:pPr>
        <w:ind w:left="0"/>
        <w:jc w:val="center"/>
        <w:rPr>
          <w:rFonts w:cs="Arial"/>
          <w:b/>
          <w:bCs/>
          <w:sz w:val="32"/>
        </w:rPr>
      </w:pPr>
      <w:r>
        <w:rPr>
          <w:rFonts w:cs="Arial"/>
          <w:b/>
          <w:bCs/>
          <w:sz w:val="32"/>
        </w:rPr>
        <w:t>Externally Managed Component (EMC)</w:t>
      </w:r>
      <w:r w:rsidR="00F61F5B" w:rsidRPr="000811CC">
        <w:rPr>
          <w:rFonts w:cs="Arial"/>
          <w:b/>
          <w:bCs/>
          <w:sz w:val="32"/>
          <w:szCs w:val="32"/>
        </w:rPr>
        <w:t xml:space="preserve"> </w:t>
      </w:r>
      <w:r w:rsidR="00F61F5B">
        <w:rPr>
          <w:rFonts w:cs="Arial"/>
          <w:b/>
          <w:bCs/>
          <w:sz w:val="32"/>
          <w:szCs w:val="32"/>
        </w:rPr>
        <w:t>Form</w:t>
      </w:r>
      <w:r w:rsidR="00F61F5B" w:rsidRPr="000811CC">
        <w:rPr>
          <w:rFonts w:cs="Arial"/>
          <w:b/>
          <w:bCs/>
          <w:sz w:val="32"/>
        </w:rPr>
        <w:br/>
      </w:r>
    </w:p>
    <w:p w14:paraId="1B3D7F9D" w14:textId="1E0A71F4" w:rsidR="00F61F5B" w:rsidRDefault="00F61F5B" w:rsidP="00F61F5B">
      <w:pPr>
        <w:ind w:left="0"/>
        <w:jc w:val="center"/>
        <w:rPr>
          <w:rFonts w:cs="Arial"/>
        </w:rPr>
      </w:pPr>
      <w:r>
        <w:rPr>
          <w:rFonts w:cs="Arial"/>
        </w:rPr>
        <w:t xml:space="preserve">Last Revision: </w:t>
      </w:r>
      <w:r w:rsidR="003C581B">
        <w:rPr>
          <w:rFonts w:cs="Arial"/>
        </w:rPr>
        <w:t>Dec</w:t>
      </w:r>
      <w:r w:rsidR="00786033">
        <w:rPr>
          <w:rFonts w:cs="Arial"/>
        </w:rPr>
        <w:t>ember</w:t>
      </w:r>
      <w:r>
        <w:rPr>
          <w:rFonts w:cs="Arial"/>
        </w:rPr>
        <w:t xml:space="preserve"> 2015</w:t>
      </w:r>
    </w:p>
    <w:p w14:paraId="21556CE0" w14:textId="77777777" w:rsidR="00F61F5B" w:rsidRPr="000811CC" w:rsidRDefault="00F61F5B" w:rsidP="00F61F5B">
      <w:pPr>
        <w:ind w:left="0"/>
        <w:jc w:val="center"/>
        <w:rPr>
          <w:rFonts w:cs="Arial"/>
        </w:rPr>
      </w:pPr>
      <w:r w:rsidRPr="00976D5A">
        <w:rPr>
          <w:rFonts w:cs="Arial"/>
        </w:rPr>
        <w:t>Cradle to Cradle Products Innovation Institute</w:t>
      </w:r>
    </w:p>
    <w:p w14:paraId="653E81BF" w14:textId="77777777" w:rsidR="00F61F5B" w:rsidRDefault="00F61F5B" w:rsidP="00F61F5B">
      <w:pPr>
        <w:ind w:left="0"/>
        <w:jc w:val="center"/>
        <w:rPr>
          <w:rFonts w:cs="Arial"/>
          <w:sz w:val="20"/>
        </w:rPr>
      </w:pPr>
    </w:p>
    <w:p w14:paraId="2A047B51" w14:textId="77777777" w:rsidR="00F61F5B" w:rsidRDefault="00F61F5B" w:rsidP="00F61F5B">
      <w:pPr>
        <w:ind w:left="0"/>
        <w:rPr>
          <w:i/>
          <w:sz w:val="22"/>
          <w:szCs w:val="22"/>
        </w:rPr>
      </w:pPr>
      <w:r>
        <w:rPr>
          <w:i/>
          <w:sz w:val="22"/>
          <w:szCs w:val="22"/>
        </w:rPr>
        <w:br w:type="page"/>
      </w:r>
    </w:p>
    <w:p w14:paraId="08FBA0BB" w14:textId="77777777" w:rsidR="00F61F5B" w:rsidRPr="006F529D" w:rsidRDefault="00F61F5B" w:rsidP="00F61F5B">
      <w:pPr>
        <w:ind w:left="0"/>
        <w:rPr>
          <w:b/>
          <w:sz w:val="32"/>
          <w:szCs w:val="22"/>
        </w:rPr>
      </w:pPr>
      <w:r w:rsidRPr="006F529D">
        <w:rPr>
          <w:b/>
          <w:sz w:val="32"/>
          <w:szCs w:val="22"/>
        </w:rPr>
        <w:lastRenderedPageBreak/>
        <w:t>Instructions</w:t>
      </w:r>
    </w:p>
    <w:p w14:paraId="3851D24B" w14:textId="77777777" w:rsidR="00F61F5B" w:rsidRPr="006F529D" w:rsidRDefault="00F61F5B" w:rsidP="00F61F5B">
      <w:pPr>
        <w:ind w:left="0"/>
        <w:rPr>
          <w:b/>
          <w:bCs/>
          <w:i/>
          <w:sz w:val="22"/>
          <w:szCs w:val="22"/>
        </w:rPr>
      </w:pPr>
    </w:p>
    <w:p w14:paraId="35FD4F1A" w14:textId="7FFEA81C" w:rsidR="00F61F5B" w:rsidRDefault="00F61F5B" w:rsidP="00F61F5B">
      <w:pPr>
        <w:ind w:left="0"/>
        <w:rPr>
          <w:szCs w:val="22"/>
        </w:rPr>
      </w:pPr>
      <w:r w:rsidRPr="00805173">
        <w:rPr>
          <w:szCs w:val="22"/>
        </w:rPr>
        <w:t xml:space="preserve">This form must be completed by assessors preparing </w:t>
      </w:r>
      <w:r w:rsidR="00883A14" w:rsidRPr="00805173">
        <w:rPr>
          <w:szCs w:val="22"/>
        </w:rPr>
        <w:t xml:space="preserve">Cradle to Cradle certification applications for products that contain an Externally Managed Component (EMC). </w:t>
      </w:r>
      <w:r w:rsidR="00046C59">
        <w:rPr>
          <w:szCs w:val="22"/>
        </w:rPr>
        <w:t xml:space="preserve">If a product contains more than one EMC, one form must be provided for each EMC. </w:t>
      </w:r>
      <w:r w:rsidR="00EA2A82">
        <w:rPr>
          <w:szCs w:val="22"/>
        </w:rPr>
        <w:t>Check all boxes that apply and provide any additional required information based on the chosen answers.</w:t>
      </w:r>
      <w:r w:rsidR="00834160">
        <w:rPr>
          <w:szCs w:val="22"/>
        </w:rPr>
        <w:t xml:space="preserve"> Additional instru</w:t>
      </w:r>
      <w:r w:rsidR="00AB5526">
        <w:rPr>
          <w:szCs w:val="22"/>
        </w:rPr>
        <w:t xml:space="preserve">ctions are provided in italics where needed. </w:t>
      </w:r>
    </w:p>
    <w:p w14:paraId="4F5A07FC" w14:textId="77777777" w:rsidR="00786033" w:rsidRDefault="00786033" w:rsidP="00F61F5B">
      <w:pPr>
        <w:ind w:left="0"/>
        <w:rPr>
          <w:szCs w:val="22"/>
        </w:rPr>
      </w:pPr>
    </w:p>
    <w:p w14:paraId="68719AEA" w14:textId="77777777" w:rsidR="003C581B" w:rsidRDefault="003C581B" w:rsidP="00F61F5B">
      <w:pPr>
        <w:ind w:left="0"/>
        <w:rPr>
          <w:szCs w:val="22"/>
        </w:rPr>
      </w:pPr>
    </w:p>
    <w:p w14:paraId="7C5C9E81" w14:textId="77777777" w:rsidR="00786033" w:rsidRDefault="00786033" w:rsidP="00786033">
      <w:pPr>
        <w:ind w:left="0"/>
        <w:rPr>
          <w:b/>
          <w:sz w:val="32"/>
          <w:szCs w:val="22"/>
        </w:rPr>
      </w:pPr>
      <w:r>
        <w:rPr>
          <w:b/>
          <w:sz w:val="32"/>
          <w:szCs w:val="22"/>
        </w:rPr>
        <w:t>Product Information</w:t>
      </w:r>
    </w:p>
    <w:p w14:paraId="0839C82F" w14:textId="77777777" w:rsidR="00786033" w:rsidRPr="00D24678" w:rsidRDefault="00786033" w:rsidP="00786033">
      <w:pPr>
        <w:ind w:left="0"/>
        <w:rPr>
          <w:i/>
          <w:sz w:val="22"/>
        </w:rPr>
      </w:pPr>
      <w:r>
        <w:rPr>
          <w:i/>
          <w:sz w:val="22"/>
        </w:rPr>
        <w:t xml:space="preserve">Provide the company name and product group name below. </w:t>
      </w:r>
    </w:p>
    <w:p w14:paraId="2BC1565E" w14:textId="77777777" w:rsidR="00786033" w:rsidRDefault="00786033" w:rsidP="00786033">
      <w:pPr>
        <w:ind w:left="0"/>
      </w:pPr>
    </w:p>
    <w:p w14:paraId="331B1CD4" w14:textId="77777777" w:rsidR="00786033" w:rsidRDefault="00786033" w:rsidP="00786033">
      <w:pPr>
        <w:ind w:left="0"/>
      </w:pPr>
      <w:r>
        <w:t xml:space="preserve">Company: </w:t>
      </w:r>
      <w:r>
        <w:fldChar w:fldCharType="begin">
          <w:ffData>
            <w:name w:val="Text119"/>
            <w:enabled/>
            <w:calcOnExit w:val="0"/>
            <w:textInput>
              <w:default w:val="Company Name"/>
            </w:textInput>
          </w:ffData>
        </w:fldChar>
      </w:r>
      <w:r>
        <w:instrText xml:space="preserve"> FORMTEXT </w:instrText>
      </w:r>
      <w:r>
        <w:fldChar w:fldCharType="separate"/>
      </w:r>
      <w:r>
        <w:rPr>
          <w:noProof/>
        </w:rPr>
        <w:t>Company Name</w:t>
      </w:r>
      <w:r>
        <w:fldChar w:fldCharType="end"/>
      </w:r>
    </w:p>
    <w:p w14:paraId="322DD233" w14:textId="77777777" w:rsidR="00786033" w:rsidRDefault="00786033" w:rsidP="00786033">
      <w:pPr>
        <w:ind w:left="0"/>
        <w:rPr>
          <w:sz w:val="32"/>
          <w:szCs w:val="22"/>
        </w:rPr>
      </w:pPr>
    </w:p>
    <w:p w14:paraId="4BF11FC5" w14:textId="61E60B1B" w:rsidR="00786033" w:rsidRPr="003C581B" w:rsidRDefault="00786033" w:rsidP="00F61F5B">
      <w:pPr>
        <w:ind w:left="0"/>
        <w:rPr>
          <w:sz w:val="32"/>
          <w:szCs w:val="22"/>
        </w:rPr>
      </w:pPr>
      <w:r>
        <w:t>Product Group:</w:t>
      </w:r>
      <w:r w:rsidRPr="00DF5AA7">
        <w:t xml:space="preserve"> </w:t>
      </w:r>
      <w:r>
        <w:fldChar w:fldCharType="begin">
          <w:ffData>
            <w:name w:val="Text119"/>
            <w:enabled/>
            <w:calcOnExit w:val="0"/>
            <w:textInput>
              <w:default w:val="Product Group Name"/>
            </w:textInput>
          </w:ffData>
        </w:fldChar>
      </w:r>
      <w:bookmarkStart w:id="0" w:name="Text119"/>
      <w:r>
        <w:instrText xml:space="preserve"> FORMTEXT </w:instrText>
      </w:r>
      <w:r>
        <w:fldChar w:fldCharType="separate"/>
      </w:r>
      <w:r>
        <w:rPr>
          <w:noProof/>
        </w:rPr>
        <w:t>Product Group Name</w:t>
      </w:r>
      <w:r>
        <w:fldChar w:fldCharType="end"/>
      </w:r>
      <w:bookmarkEnd w:id="0"/>
    </w:p>
    <w:p w14:paraId="51D079B4" w14:textId="77777777" w:rsidR="00F61F5B" w:rsidRDefault="00F61F5B" w:rsidP="00F61F5B">
      <w:pPr>
        <w:ind w:left="0"/>
        <w:rPr>
          <w:sz w:val="22"/>
          <w:szCs w:val="22"/>
        </w:rPr>
      </w:pPr>
    </w:p>
    <w:p w14:paraId="6950EFF4" w14:textId="77777777" w:rsidR="003C581B" w:rsidRDefault="003C581B" w:rsidP="00F61F5B">
      <w:pPr>
        <w:ind w:left="0"/>
        <w:rPr>
          <w:sz w:val="22"/>
          <w:szCs w:val="22"/>
        </w:rPr>
      </w:pPr>
    </w:p>
    <w:p w14:paraId="07EEF46B" w14:textId="3161A132" w:rsidR="000373BF" w:rsidRPr="00DB6AA6" w:rsidRDefault="007D5B26" w:rsidP="00F61F5B">
      <w:pPr>
        <w:ind w:left="0"/>
        <w:rPr>
          <w:b/>
          <w:sz w:val="32"/>
          <w:szCs w:val="22"/>
        </w:rPr>
      </w:pPr>
      <w:r>
        <w:rPr>
          <w:b/>
          <w:sz w:val="32"/>
          <w:szCs w:val="22"/>
        </w:rPr>
        <w:t>EMC Eligibility</w:t>
      </w:r>
    </w:p>
    <w:p w14:paraId="1AE2C010" w14:textId="6A9150D2" w:rsidR="000373BF" w:rsidRDefault="000373BF" w:rsidP="000373BF">
      <w:pPr>
        <w:ind w:left="360" w:hanging="360"/>
      </w:pPr>
      <w:r>
        <w:rPr>
          <w:i/>
        </w:rPr>
        <w:fldChar w:fldCharType="begin">
          <w:ffData>
            <w:name w:val="Check65"/>
            <w:enabled/>
            <w:calcOnExit w:val="0"/>
            <w:checkBox>
              <w:sizeAuto/>
              <w:default w:val="0"/>
            </w:checkBox>
          </w:ffData>
        </w:fldChar>
      </w:r>
      <w:r>
        <w:rPr>
          <w:i/>
        </w:rPr>
        <w:instrText xml:space="preserve"> FORMCHECKBOX </w:instrText>
      </w:r>
      <w:r w:rsidR="001D001F">
        <w:rPr>
          <w:i/>
        </w:rPr>
      </w:r>
      <w:r w:rsidR="001D001F">
        <w:rPr>
          <w:i/>
        </w:rPr>
        <w:fldChar w:fldCharType="separate"/>
      </w:r>
      <w:r>
        <w:rPr>
          <w:i/>
        </w:rPr>
        <w:fldChar w:fldCharType="end"/>
      </w:r>
      <w:r>
        <w:rPr>
          <w:i/>
        </w:rPr>
        <w:t xml:space="preserve"> </w:t>
      </w:r>
      <w:r w:rsidR="00BF067D">
        <w:rPr>
          <w:i/>
        </w:rPr>
        <w:t xml:space="preserve">Required. </w:t>
      </w:r>
      <w:r w:rsidR="000D5FE8">
        <w:t>The EMC is a sealed component</w:t>
      </w:r>
      <w:r w:rsidR="001440FE">
        <w:t xml:space="preserve"> that is manufactured in a way that prohibits the migration of chemicals and materials from the component.</w:t>
      </w:r>
      <w:r w:rsidR="00D425D8" w:rsidRPr="00D425D8">
        <w:t xml:space="preserve"> </w:t>
      </w:r>
      <w:r w:rsidR="00D425D8">
        <w:t>During the use of the product for which the EMC is a component, users are not exposed to any part or chemical within the component, and no part or chemical within the component is released to the environment.</w:t>
      </w:r>
    </w:p>
    <w:p w14:paraId="5003A354" w14:textId="2743BF0A" w:rsidR="001440FE" w:rsidRDefault="001440FE" w:rsidP="00EF43CA">
      <w:pPr>
        <w:ind w:left="720"/>
      </w:pPr>
      <w:r w:rsidRPr="00EF43CA">
        <w:rPr>
          <w:b/>
        </w:rPr>
        <w:t>Description of EMC and how it meets this requirement: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DA72162" w14:textId="77777777" w:rsidR="001440FE" w:rsidRDefault="001440FE" w:rsidP="000373BF">
      <w:pPr>
        <w:ind w:left="360" w:hanging="360"/>
      </w:pPr>
    </w:p>
    <w:p w14:paraId="2F32F800" w14:textId="0971B876" w:rsidR="00920EB0" w:rsidRPr="00DB6AA6" w:rsidRDefault="003A51E8" w:rsidP="00920EB0">
      <w:pPr>
        <w:ind w:left="0"/>
        <w:rPr>
          <w:b/>
          <w:sz w:val="32"/>
          <w:szCs w:val="22"/>
        </w:rPr>
      </w:pPr>
      <w:r>
        <w:rPr>
          <w:b/>
          <w:sz w:val="32"/>
          <w:szCs w:val="22"/>
        </w:rPr>
        <w:t>EMC Assessment: Material Reutilization</w:t>
      </w:r>
    </w:p>
    <w:p w14:paraId="60F344F9" w14:textId="1618CE43" w:rsidR="003A51E8" w:rsidRDefault="003A51E8" w:rsidP="00991C31">
      <w:pPr>
        <w:ind w:left="360" w:hanging="360"/>
        <w:rPr>
          <w:szCs w:val="22"/>
        </w:rPr>
      </w:pPr>
      <w:r w:rsidRPr="008D5A65">
        <w:rPr>
          <w:i/>
          <w:szCs w:val="22"/>
        </w:rPr>
        <w:fldChar w:fldCharType="begin">
          <w:ffData>
            <w:name w:val="Check65"/>
            <w:enabled/>
            <w:calcOnExit w:val="0"/>
            <w:checkBox>
              <w:sizeAuto/>
              <w:default w:val="0"/>
            </w:checkBox>
          </w:ffData>
        </w:fldChar>
      </w:r>
      <w:r w:rsidRPr="008D5A65">
        <w:rPr>
          <w:i/>
          <w:szCs w:val="22"/>
        </w:rPr>
        <w:instrText xml:space="preserve"> FORMCHECKBOX </w:instrText>
      </w:r>
      <w:r w:rsidR="001D001F">
        <w:rPr>
          <w:i/>
          <w:szCs w:val="22"/>
        </w:rPr>
      </w:r>
      <w:r w:rsidR="001D001F">
        <w:rPr>
          <w:i/>
          <w:szCs w:val="22"/>
        </w:rPr>
        <w:fldChar w:fldCharType="separate"/>
      </w:r>
      <w:r w:rsidRPr="008D5A65">
        <w:rPr>
          <w:szCs w:val="22"/>
        </w:rPr>
        <w:fldChar w:fldCharType="end"/>
      </w:r>
      <w:r w:rsidRPr="008D5A65">
        <w:rPr>
          <w:i/>
          <w:szCs w:val="22"/>
        </w:rPr>
        <w:t xml:space="preserve"> </w:t>
      </w:r>
      <w:r w:rsidR="006A2570">
        <w:rPr>
          <w:i/>
          <w:szCs w:val="22"/>
        </w:rPr>
        <w:t xml:space="preserve">Required. </w:t>
      </w:r>
      <w:r>
        <w:rPr>
          <w:szCs w:val="22"/>
        </w:rPr>
        <w:t>The applicant or the EMC supplier has provided a guarantee for take back and appropriate nutrient management. A signed statement from the applicant or the EMC supplier is attached. It includes a full description of the take-back program and how the product or material will be returned.</w:t>
      </w:r>
    </w:p>
    <w:p w14:paraId="78142304" w14:textId="77777777" w:rsidR="00BA6FD6" w:rsidRDefault="003A51E8" w:rsidP="00991C31">
      <w:pPr>
        <w:ind w:left="720"/>
        <w:rPr>
          <w:szCs w:val="22"/>
        </w:rPr>
      </w:pPr>
      <w:r w:rsidRPr="00991C31">
        <w:rPr>
          <w:b/>
          <w:szCs w:val="22"/>
        </w:rPr>
        <w:t>Percentage of the EMC that is considered recyclable after take-back:</w:t>
      </w:r>
      <w:r>
        <w:rPr>
          <w:szCs w:val="22"/>
        </w:rPr>
        <w:t xml:space="preserve"> </w:t>
      </w:r>
      <w:r>
        <w:rPr>
          <w:szCs w:val="22"/>
        </w:rPr>
        <w:fldChar w:fldCharType="begin">
          <w:ffData>
            <w:name w:val="Text72"/>
            <w:enabled/>
            <w:calcOnExit w:val="0"/>
            <w:textInput/>
          </w:ffData>
        </w:fldChar>
      </w:r>
      <w:bookmarkStart w:id="2" w:name="Text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r>
        <w:rPr>
          <w:szCs w:val="22"/>
        </w:rPr>
        <w:t>%</w:t>
      </w:r>
    </w:p>
    <w:p w14:paraId="44436F44" w14:textId="77777777" w:rsidR="00991C31" w:rsidRDefault="00991C31" w:rsidP="00BA6FD6">
      <w:pPr>
        <w:ind w:left="0"/>
        <w:rPr>
          <w:szCs w:val="22"/>
        </w:rPr>
      </w:pPr>
    </w:p>
    <w:p w14:paraId="262E9696" w14:textId="3790390E" w:rsidR="003A51E8" w:rsidRDefault="003A51E8" w:rsidP="00991C31">
      <w:pPr>
        <w:ind w:left="0" w:firstLine="720"/>
        <w:rPr>
          <w:szCs w:val="22"/>
        </w:rPr>
      </w:pPr>
      <w:r w:rsidRPr="00991C31">
        <w:rPr>
          <w:b/>
          <w:szCs w:val="22"/>
        </w:rPr>
        <w:t>Description of how this percentage was determined:</w:t>
      </w:r>
      <w:r>
        <w:rPr>
          <w:szCs w:val="22"/>
        </w:rPr>
        <w:t xml:space="preserve"> </w:t>
      </w:r>
      <w:r>
        <w:rPr>
          <w:szCs w:val="22"/>
        </w:rPr>
        <w:fldChar w:fldCharType="begin">
          <w:ffData>
            <w:name w:val="Text73"/>
            <w:enabled/>
            <w:calcOnExit w:val="0"/>
            <w:textInput/>
          </w:ffData>
        </w:fldChar>
      </w:r>
      <w:bookmarkStart w:id="3" w:name="Text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p w14:paraId="61D363D5" w14:textId="77777777" w:rsidR="003A51E8" w:rsidRDefault="003A51E8" w:rsidP="000373BF">
      <w:pPr>
        <w:ind w:left="360" w:hanging="360"/>
      </w:pPr>
    </w:p>
    <w:p w14:paraId="75F68FB2" w14:textId="270ECF5E" w:rsidR="004807FD" w:rsidRPr="00DB6AA6" w:rsidRDefault="00060859" w:rsidP="00DB6AA6">
      <w:pPr>
        <w:ind w:left="0"/>
        <w:rPr>
          <w:b/>
          <w:sz w:val="32"/>
          <w:szCs w:val="22"/>
        </w:rPr>
      </w:pPr>
      <w:r>
        <w:rPr>
          <w:b/>
          <w:sz w:val="32"/>
          <w:szCs w:val="22"/>
        </w:rPr>
        <w:t>EMC Assessment</w:t>
      </w:r>
      <w:r w:rsidR="00F71961">
        <w:rPr>
          <w:b/>
          <w:sz w:val="32"/>
          <w:szCs w:val="22"/>
        </w:rPr>
        <w:t>: Material Health</w:t>
      </w:r>
    </w:p>
    <w:p w14:paraId="1321E07E" w14:textId="32061CD1" w:rsidR="004807FD" w:rsidRDefault="001440FE" w:rsidP="00B11E4F">
      <w:pPr>
        <w:ind w:left="360" w:hanging="360"/>
      </w:pPr>
      <w:r>
        <w:rPr>
          <w:i/>
        </w:rPr>
        <w:fldChar w:fldCharType="begin">
          <w:ffData>
            <w:name w:val="Check65"/>
            <w:enabled/>
            <w:calcOnExit w:val="0"/>
            <w:checkBox>
              <w:sizeAuto/>
              <w:default w:val="0"/>
            </w:checkBox>
          </w:ffData>
        </w:fldChar>
      </w:r>
      <w:r>
        <w:rPr>
          <w:i/>
        </w:rPr>
        <w:instrText xml:space="preserve"> FORMCHECKBOX </w:instrText>
      </w:r>
      <w:r w:rsidR="001D001F">
        <w:rPr>
          <w:i/>
        </w:rPr>
      </w:r>
      <w:r w:rsidR="001D001F">
        <w:rPr>
          <w:i/>
        </w:rPr>
        <w:fldChar w:fldCharType="separate"/>
      </w:r>
      <w:r>
        <w:rPr>
          <w:i/>
        </w:rPr>
        <w:fldChar w:fldCharType="end"/>
      </w:r>
      <w:r>
        <w:rPr>
          <w:i/>
        </w:rPr>
        <w:t xml:space="preserve"> </w:t>
      </w:r>
      <w:r w:rsidR="00210699">
        <w:rPr>
          <w:i/>
        </w:rPr>
        <w:t xml:space="preserve">Required. </w:t>
      </w:r>
      <w:r w:rsidR="00AF35A5">
        <w:t xml:space="preserve">The EMC meets the banned list </w:t>
      </w:r>
      <w:r w:rsidR="0031788D">
        <w:t>requirements.</w:t>
      </w:r>
    </w:p>
    <w:p w14:paraId="15AE0297" w14:textId="29A7F8BB" w:rsidR="004807FD" w:rsidRDefault="006C366F" w:rsidP="00340867">
      <w:pPr>
        <w:ind w:left="360" w:firstLine="360"/>
      </w:pPr>
      <w:r w:rsidRPr="00340867">
        <w:rPr>
          <w:b/>
        </w:rPr>
        <w:t>Description of</w:t>
      </w:r>
      <w:r w:rsidR="004807FD" w:rsidRPr="00340867">
        <w:rPr>
          <w:b/>
        </w:rPr>
        <w:t xml:space="preserve"> how</w:t>
      </w:r>
      <w:r w:rsidR="00B11E4F" w:rsidRPr="00340867">
        <w:rPr>
          <w:b/>
        </w:rPr>
        <w:t xml:space="preserve"> banned list compliance was determined:</w:t>
      </w:r>
      <w:r w:rsidR="00B11E4F">
        <w:t xml:space="preserve"> </w:t>
      </w:r>
      <w:r w:rsidR="004807FD">
        <w:fldChar w:fldCharType="begin">
          <w:ffData>
            <w:name w:val="Text4"/>
            <w:enabled/>
            <w:calcOnExit w:val="0"/>
            <w:textInput/>
          </w:ffData>
        </w:fldChar>
      </w:r>
      <w:bookmarkStart w:id="4" w:name="Text4"/>
      <w:r w:rsidR="004807FD">
        <w:instrText xml:space="preserve"> FORMTEXT </w:instrText>
      </w:r>
      <w:r w:rsidR="004807FD">
        <w:fldChar w:fldCharType="separate"/>
      </w:r>
      <w:r w:rsidR="004807FD">
        <w:rPr>
          <w:noProof/>
        </w:rPr>
        <w:t> </w:t>
      </w:r>
      <w:r w:rsidR="004807FD">
        <w:rPr>
          <w:noProof/>
        </w:rPr>
        <w:t> </w:t>
      </w:r>
      <w:r w:rsidR="004807FD">
        <w:rPr>
          <w:noProof/>
        </w:rPr>
        <w:t> </w:t>
      </w:r>
      <w:r w:rsidR="004807FD">
        <w:rPr>
          <w:noProof/>
        </w:rPr>
        <w:t> </w:t>
      </w:r>
      <w:r w:rsidR="004807FD">
        <w:rPr>
          <w:noProof/>
        </w:rPr>
        <w:t> </w:t>
      </w:r>
      <w:r w:rsidR="004807FD">
        <w:fldChar w:fldCharType="end"/>
      </w:r>
      <w:bookmarkEnd w:id="4"/>
    </w:p>
    <w:p w14:paraId="4577F62D" w14:textId="77777777" w:rsidR="00490877" w:rsidRDefault="00490877" w:rsidP="003A51E8">
      <w:pPr>
        <w:ind w:left="0"/>
        <w:rPr>
          <w:szCs w:val="22"/>
        </w:rPr>
      </w:pPr>
    </w:p>
    <w:p w14:paraId="396F83BD" w14:textId="35D64E76" w:rsidR="00EF08C6" w:rsidRDefault="00F42200" w:rsidP="006E3443">
      <w:pPr>
        <w:ind w:left="360" w:hanging="360"/>
        <w:rPr>
          <w:szCs w:val="22"/>
        </w:rPr>
      </w:pPr>
      <w:r>
        <w:rPr>
          <w:i/>
        </w:rPr>
        <w:fldChar w:fldCharType="begin">
          <w:ffData>
            <w:name w:val="Check65"/>
            <w:enabled/>
            <w:calcOnExit w:val="0"/>
            <w:checkBox>
              <w:sizeAuto/>
              <w:default w:val="0"/>
            </w:checkBox>
          </w:ffData>
        </w:fldChar>
      </w:r>
      <w:r>
        <w:rPr>
          <w:i/>
        </w:rPr>
        <w:instrText xml:space="preserve"> FORMCHECKBOX </w:instrText>
      </w:r>
      <w:r w:rsidR="001D001F">
        <w:rPr>
          <w:i/>
        </w:rPr>
      </w:r>
      <w:r w:rsidR="001D001F">
        <w:rPr>
          <w:i/>
        </w:rPr>
        <w:fldChar w:fldCharType="separate"/>
      </w:r>
      <w:r>
        <w:rPr>
          <w:i/>
        </w:rPr>
        <w:fldChar w:fldCharType="end"/>
      </w:r>
      <w:r>
        <w:rPr>
          <w:i/>
        </w:rPr>
        <w:t xml:space="preserve"> </w:t>
      </w:r>
      <w:r w:rsidR="001F1623">
        <w:rPr>
          <w:i/>
        </w:rPr>
        <w:t xml:space="preserve">Required. </w:t>
      </w:r>
      <w:r w:rsidR="00490877" w:rsidRPr="00490877">
        <w:rPr>
          <w:szCs w:val="22"/>
        </w:rPr>
        <w:t xml:space="preserve">The </w:t>
      </w:r>
      <w:r w:rsidR="007F7E94">
        <w:rPr>
          <w:szCs w:val="22"/>
        </w:rPr>
        <w:t xml:space="preserve">EMC </w:t>
      </w:r>
      <w:r w:rsidR="00490877" w:rsidRPr="00490877">
        <w:rPr>
          <w:szCs w:val="22"/>
        </w:rPr>
        <w:t xml:space="preserve">supplier has signed a declaration that chemicals in the EMC will not negatively impact humans or the natural environment during the intended and unintended but highly likely use of the product for which the EMC is a component. </w:t>
      </w:r>
      <w:r w:rsidR="00EF08C6">
        <w:rPr>
          <w:szCs w:val="22"/>
        </w:rPr>
        <w:t>This signed declaration is attached.</w:t>
      </w:r>
    </w:p>
    <w:p w14:paraId="7DE41460" w14:textId="33C0611A" w:rsidR="00490877" w:rsidRDefault="005E3E79" w:rsidP="009227D4">
      <w:pPr>
        <w:ind w:left="720"/>
        <w:rPr>
          <w:szCs w:val="22"/>
        </w:rPr>
      </w:pPr>
      <w:r w:rsidRPr="009227D4">
        <w:rPr>
          <w:b/>
          <w:szCs w:val="22"/>
        </w:rPr>
        <w:t>Description</w:t>
      </w:r>
      <w:r w:rsidR="0056339D" w:rsidRPr="009227D4">
        <w:rPr>
          <w:b/>
          <w:szCs w:val="22"/>
        </w:rPr>
        <w:t xml:space="preserve"> of the evidence used </w:t>
      </w:r>
      <w:r w:rsidR="00CD6CF1" w:rsidRPr="009227D4">
        <w:rPr>
          <w:b/>
          <w:szCs w:val="22"/>
        </w:rPr>
        <w:t xml:space="preserve">as the </w:t>
      </w:r>
      <w:r w:rsidR="0056339D" w:rsidRPr="009227D4">
        <w:rPr>
          <w:b/>
          <w:szCs w:val="22"/>
        </w:rPr>
        <w:t>basis for this declaration</w:t>
      </w:r>
      <w:r w:rsidR="00227768" w:rsidRPr="009227D4">
        <w:rPr>
          <w:b/>
          <w:szCs w:val="22"/>
        </w:rPr>
        <w:t xml:space="preserve"> (such a declaration</w:t>
      </w:r>
      <w:r w:rsidR="00490877" w:rsidRPr="009227D4">
        <w:rPr>
          <w:b/>
          <w:szCs w:val="22"/>
        </w:rPr>
        <w:t xml:space="preserve"> may be provided if the EM</w:t>
      </w:r>
      <w:r w:rsidR="009A394D" w:rsidRPr="009227D4">
        <w:rPr>
          <w:b/>
          <w:szCs w:val="22"/>
        </w:rPr>
        <w:t xml:space="preserve">C is Cradle to Cradle Certified™ (Gold </w:t>
      </w:r>
      <w:r w:rsidR="00490877" w:rsidRPr="009227D4">
        <w:rPr>
          <w:b/>
          <w:szCs w:val="22"/>
        </w:rPr>
        <w:t>level or higher)</w:t>
      </w:r>
      <w:r w:rsidR="00452119" w:rsidRPr="009227D4">
        <w:rPr>
          <w:b/>
          <w:szCs w:val="22"/>
        </w:rPr>
        <w:t>, or other appropriate evidence):</w:t>
      </w:r>
      <w:r w:rsidR="00452119">
        <w:rPr>
          <w:szCs w:val="22"/>
        </w:rPr>
        <w:t xml:space="preserve"> </w:t>
      </w:r>
      <w:r w:rsidR="00452119">
        <w:rPr>
          <w:szCs w:val="22"/>
        </w:rPr>
        <w:fldChar w:fldCharType="begin">
          <w:ffData>
            <w:name w:val="Text5"/>
            <w:enabled/>
            <w:calcOnExit w:val="0"/>
            <w:textInput/>
          </w:ffData>
        </w:fldChar>
      </w:r>
      <w:bookmarkStart w:id="5" w:name="Text5"/>
      <w:r w:rsidR="00452119">
        <w:rPr>
          <w:szCs w:val="22"/>
        </w:rPr>
        <w:instrText xml:space="preserve"> FORMTEXT </w:instrText>
      </w:r>
      <w:r w:rsidR="00452119">
        <w:rPr>
          <w:szCs w:val="22"/>
        </w:rPr>
      </w:r>
      <w:r w:rsidR="00452119">
        <w:rPr>
          <w:szCs w:val="22"/>
        </w:rPr>
        <w:fldChar w:fldCharType="separate"/>
      </w:r>
      <w:bookmarkStart w:id="6" w:name="_GoBack"/>
      <w:r w:rsidR="00452119">
        <w:rPr>
          <w:noProof/>
          <w:szCs w:val="22"/>
        </w:rPr>
        <w:t> </w:t>
      </w:r>
      <w:r w:rsidR="00452119">
        <w:rPr>
          <w:noProof/>
          <w:szCs w:val="22"/>
        </w:rPr>
        <w:t> </w:t>
      </w:r>
      <w:r w:rsidR="00452119">
        <w:rPr>
          <w:noProof/>
          <w:szCs w:val="22"/>
        </w:rPr>
        <w:t> </w:t>
      </w:r>
      <w:r w:rsidR="00452119">
        <w:rPr>
          <w:noProof/>
          <w:szCs w:val="22"/>
        </w:rPr>
        <w:t> </w:t>
      </w:r>
      <w:r w:rsidR="00452119">
        <w:rPr>
          <w:noProof/>
          <w:szCs w:val="22"/>
        </w:rPr>
        <w:t> </w:t>
      </w:r>
      <w:bookmarkEnd w:id="6"/>
      <w:r w:rsidR="00452119">
        <w:rPr>
          <w:szCs w:val="22"/>
        </w:rPr>
        <w:fldChar w:fldCharType="end"/>
      </w:r>
      <w:bookmarkEnd w:id="5"/>
    </w:p>
    <w:p w14:paraId="4BB54AC7" w14:textId="77777777" w:rsidR="00B71C16" w:rsidRDefault="00B71C16" w:rsidP="009A394D">
      <w:pPr>
        <w:ind w:left="360"/>
        <w:rPr>
          <w:szCs w:val="22"/>
        </w:rPr>
      </w:pPr>
    </w:p>
    <w:p w14:paraId="567BAF9C" w14:textId="2D11CE60" w:rsidR="00C14F28" w:rsidRDefault="00B71C16" w:rsidP="00256689">
      <w:pPr>
        <w:ind w:left="360" w:hanging="360"/>
        <w:rPr>
          <w:szCs w:val="22"/>
        </w:rPr>
      </w:pPr>
      <w:r w:rsidRPr="00B71C16">
        <w:rPr>
          <w:i/>
          <w:szCs w:val="22"/>
        </w:rPr>
        <w:fldChar w:fldCharType="begin">
          <w:ffData>
            <w:name w:val="Check65"/>
            <w:enabled/>
            <w:calcOnExit w:val="0"/>
            <w:checkBox>
              <w:sizeAuto/>
              <w:default w:val="0"/>
            </w:checkBox>
          </w:ffData>
        </w:fldChar>
      </w:r>
      <w:r w:rsidRPr="00B71C16">
        <w:rPr>
          <w:i/>
          <w:szCs w:val="22"/>
        </w:rPr>
        <w:instrText xml:space="preserve"> FORMCHECKBOX </w:instrText>
      </w:r>
      <w:r w:rsidR="001D001F">
        <w:rPr>
          <w:i/>
          <w:szCs w:val="22"/>
        </w:rPr>
      </w:r>
      <w:r w:rsidR="001D001F">
        <w:rPr>
          <w:i/>
          <w:szCs w:val="22"/>
        </w:rPr>
        <w:fldChar w:fldCharType="separate"/>
      </w:r>
      <w:r w:rsidRPr="00B71C16">
        <w:rPr>
          <w:szCs w:val="22"/>
        </w:rPr>
        <w:fldChar w:fldCharType="end"/>
      </w:r>
      <w:r w:rsidRPr="00B71C16">
        <w:rPr>
          <w:i/>
          <w:szCs w:val="22"/>
        </w:rPr>
        <w:t xml:space="preserve"> </w:t>
      </w:r>
      <w:r w:rsidR="000619B3">
        <w:rPr>
          <w:i/>
          <w:szCs w:val="22"/>
        </w:rPr>
        <w:t xml:space="preserve">Required. </w:t>
      </w:r>
      <w:r w:rsidR="007448DA">
        <w:rPr>
          <w:szCs w:val="22"/>
        </w:rPr>
        <w:t xml:space="preserve">All possible pathways of migration of </w:t>
      </w:r>
      <w:r w:rsidR="001D6873">
        <w:rPr>
          <w:szCs w:val="22"/>
        </w:rPr>
        <w:t>harmful substances</w:t>
      </w:r>
      <w:r w:rsidR="007448DA">
        <w:rPr>
          <w:szCs w:val="22"/>
        </w:rPr>
        <w:t xml:space="preserve"> in the EMC during the use of the product have been considered</w:t>
      </w:r>
      <w:r w:rsidR="00921B06">
        <w:rPr>
          <w:szCs w:val="22"/>
        </w:rPr>
        <w:t xml:space="preserve">. Harmful substances are not being released from the EMC above the chemicals’ analytical detection limits. </w:t>
      </w:r>
      <w:r w:rsidR="0083548D">
        <w:rPr>
          <w:szCs w:val="22"/>
        </w:rPr>
        <w:t xml:space="preserve"> </w:t>
      </w:r>
    </w:p>
    <w:p w14:paraId="52F56BBC" w14:textId="4D3B4DC6" w:rsidR="004E614B" w:rsidRDefault="004E614B" w:rsidP="005D2F45">
      <w:pPr>
        <w:tabs>
          <w:tab w:val="left" w:pos="360"/>
        </w:tabs>
        <w:ind w:left="720"/>
        <w:rPr>
          <w:szCs w:val="22"/>
        </w:rPr>
      </w:pPr>
      <w:r w:rsidRPr="00ED5699">
        <w:rPr>
          <w:b/>
          <w:szCs w:val="22"/>
        </w:rPr>
        <w:t xml:space="preserve">Description of </w:t>
      </w:r>
      <w:r w:rsidR="00352242" w:rsidRPr="00ED5699">
        <w:rPr>
          <w:b/>
          <w:szCs w:val="22"/>
        </w:rPr>
        <w:t xml:space="preserve">potential pathways of migration of </w:t>
      </w:r>
      <w:r w:rsidR="00954ACD" w:rsidRPr="00ED5699">
        <w:rPr>
          <w:b/>
          <w:szCs w:val="22"/>
        </w:rPr>
        <w:t>harmful substances</w:t>
      </w:r>
      <w:r w:rsidRPr="00ED5699">
        <w:rPr>
          <w:b/>
          <w:szCs w:val="22"/>
        </w:rPr>
        <w:t>:</w:t>
      </w:r>
      <w:r>
        <w:rPr>
          <w:szCs w:val="22"/>
        </w:rPr>
        <w:t xml:space="preserve"> </w:t>
      </w:r>
      <w:r>
        <w:rPr>
          <w:szCs w:val="22"/>
        </w:rPr>
        <w:fldChar w:fldCharType="begin">
          <w:ffData>
            <w:name w:val="Text70"/>
            <w:enabled/>
            <w:calcOnExit w:val="0"/>
            <w:textInput/>
          </w:ffData>
        </w:fldChar>
      </w:r>
      <w:bookmarkStart w:id="7" w:name="Text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p w14:paraId="42BADAD8" w14:textId="77777777" w:rsidR="00A33430" w:rsidRDefault="00A33430" w:rsidP="00A33430">
      <w:pPr>
        <w:ind w:left="0"/>
        <w:rPr>
          <w:szCs w:val="22"/>
        </w:rPr>
      </w:pPr>
    </w:p>
    <w:p w14:paraId="688CCBAA" w14:textId="2E154BB6" w:rsidR="00256689" w:rsidRPr="00006F00" w:rsidRDefault="009C274B" w:rsidP="005D2F45">
      <w:pPr>
        <w:ind w:left="720"/>
        <w:rPr>
          <w:szCs w:val="22"/>
        </w:rPr>
      </w:pPr>
      <w:r w:rsidRPr="00EF0160">
        <w:rPr>
          <w:b/>
          <w:szCs w:val="22"/>
        </w:rPr>
        <w:t>Descr</w:t>
      </w:r>
      <w:r w:rsidR="004475F2" w:rsidRPr="00EF0160">
        <w:rPr>
          <w:b/>
          <w:szCs w:val="22"/>
        </w:rPr>
        <w:t xml:space="preserve">iption of </w:t>
      </w:r>
      <w:r w:rsidR="00407D7B" w:rsidRPr="00EF0160">
        <w:rPr>
          <w:b/>
          <w:szCs w:val="22"/>
        </w:rPr>
        <w:t xml:space="preserve">how </w:t>
      </w:r>
      <w:r w:rsidR="00E63B55" w:rsidRPr="00EF0160">
        <w:rPr>
          <w:b/>
          <w:szCs w:val="22"/>
        </w:rPr>
        <w:t xml:space="preserve">it was determined that harmful substances are not </w:t>
      </w:r>
      <w:r w:rsidR="00777417" w:rsidRPr="00EF0160">
        <w:rPr>
          <w:b/>
          <w:szCs w:val="22"/>
        </w:rPr>
        <w:t>being released from the EMC above the chemicals’ analytical detection limits</w:t>
      </w:r>
      <w:r w:rsidR="00CA6A38" w:rsidRPr="00EF0160">
        <w:rPr>
          <w:b/>
          <w:szCs w:val="22"/>
        </w:rPr>
        <w:t xml:space="preserve"> (</w:t>
      </w:r>
      <w:r w:rsidR="002E27A6" w:rsidRPr="00EF0160">
        <w:rPr>
          <w:b/>
          <w:szCs w:val="22"/>
        </w:rPr>
        <w:t>testing,</w:t>
      </w:r>
      <w:r w:rsidR="00487534" w:rsidRPr="00EF0160">
        <w:rPr>
          <w:b/>
          <w:szCs w:val="22"/>
        </w:rPr>
        <w:t xml:space="preserve"> studies, formulation information, etc.)</w:t>
      </w:r>
      <w:r w:rsidR="00777417" w:rsidRPr="00EF0160">
        <w:rPr>
          <w:b/>
          <w:szCs w:val="22"/>
        </w:rPr>
        <w:t>:</w:t>
      </w:r>
      <w:r w:rsidR="00777417">
        <w:rPr>
          <w:szCs w:val="22"/>
        </w:rPr>
        <w:t xml:space="preserve"> </w:t>
      </w:r>
      <w:r w:rsidR="00777417">
        <w:rPr>
          <w:szCs w:val="22"/>
        </w:rPr>
        <w:fldChar w:fldCharType="begin">
          <w:ffData>
            <w:name w:val="Text74"/>
            <w:enabled/>
            <w:calcOnExit w:val="0"/>
            <w:textInput/>
          </w:ffData>
        </w:fldChar>
      </w:r>
      <w:bookmarkStart w:id="8" w:name="Text74"/>
      <w:r w:rsidR="00777417">
        <w:rPr>
          <w:szCs w:val="22"/>
        </w:rPr>
        <w:instrText xml:space="preserve"> FORMTEXT </w:instrText>
      </w:r>
      <w:r w:rsidR="00777417">
        <w:rPr>
          <w:szCs w:val="22"/>
        </w:rPr>
      </w:r>
      <w:r w:rsidR="00777417">
        <w:rPr>
          <w:szCs w:val="22"/>
        </w:rPr>
        <w:fldChar w:fldCharType="separate"/>
      </w:r>
      <w:r w:rsidR="00777417">
        <w:rPr>
          <w:noProof/>
          <w:szCs w:val="22"/>
        </w:rPr>
        <w:t> </w:t>
      </w:r>
      <w:r w:rsidR="00777417">
        <w:rPr>
          <w:noProof/>
          <w:szCs w:val="22"/>
        </w:rPr>
        <w:t> </w:t>
      </w:r>
      <w:r w:rsidR="00777417">
        <w:rPr>
          <w:noProof/>
          <w:szCs w:val="22"/>
        </w:rPr>
        <w:t> </w:t>
      </w:r>
      <w:r w:rsidR="00777417">
        <w:rPr>
          <w:noProof/>
          <w:szCs w:val="22"/>
        </w:rPr>
        <w:t> </w:t>
      </w:r>
      <w:r w:rsidR="00777417">
        <w:rPr>
          <w:noProof/>
          <w:szCs w:val="22"/>
        </w:rPr>
        <w:t> </w:t>
      </w:r>
      <w:r w:rsidR="00777417">
        <w:rPr>
          <w:szCs w:val="22"/>
        </w:rPr>
        <w:fldChar w:fldCharType="end"/>
      </w:r>
      <w:bookmarkEnd w:id="8"/>
    </w:p>
    <w:p w14:paraId="0CA2C265" w14:textId="77777777" w:rsidR="00093EA9" w:rsidRDefault="00093EA9" w:rsidP="00B42F49">
      <w:pPr>
        <w:ind w:left="0"/>
        <w:rPr>
          <w:szCs w:val="22"/>
        </w:rPr>
      </w:pPr>
    </w:p>
    <w:p w14:paraId="2A9D11BE" w14:textId="35F7EB54" w:rsidR="00AF62FD" w:rsidRDefault="00AF62FD" w:rsidP="00E62627">
      <w:pPr>
        <w:ind w:left="360" w:hanging="360"/>
        <w:rPr>
          <w:szCs w:val="22"/>
        </w:rPr>
      </w:pPr>
      <w:r w:rsidRPr="00B71C16">
        <w:rPr>
          <w:i/>
          <w:szCs w:val="22"/>
        </w:rPr>
        <w:fldChar w:fldCharType="begin">
          <w:ffData>
            <w:name w:val="Check65"/>
            <w:enabled/>
            <w:calcOnExit w:val="0"/>
            <w:checkBox>
              <w:sizeAuto/>
              <w:default w:val="0"/>
            </w:checkBox>
          </w:ffData>
        </w:fldChar>
      </w:r>
      <w:r w:rsidRPr="00B71C16">
        <w:rPr>
          <w:i/>
          <w:szCs w:val="22"/>
        </w:rPr>
        <w:instrText xml:space="preserve"> FORMCHECKBOX </w:instrText>
      </w:r>
      <w:r w:rsidR="001D001F">
        <w:rPr>
          <w:i/>
          <w:szCs w:val="22"/>
        </w:rPr>
      </w:r>
      <w:r w:rsidR="001D001F">
        <w:rPr>
          <w:i/>
          <w:szCs w:val="22"/>
        </w:rPr>
        <w:fldChar w:fldCharType="separate"/>
      </w:r>
      <w:r w:rsidRPr="00B71C16">
        <w:rPr>
          <w:szCs w:val="22"/>
        </w:rPr>
        <w:fldChar w:fldCharType="end"/>
      </w:r>
      <w:r w:rsidRPr="00B71C16">
        <w:rPr>
          <w:i/>
          <w:szCs w:val="22"/>
        </w:rPr>
        <w:t xml:space="preserve"> </w:t>
      </w:r>
      <w:r>
        <w:rPr>
          <w:szCs w:val="22"/>
        </w:rPr>
        <w:t xml:space="preserve">The product </w:t>
      </w:r>
      <w:r w:rsidR="009D75AE">
        <w:rPr>
          <w:szCs w:val="22"/>
        </w:rPr>
        <w:t>containing the EMC</w:t>
      </w:r>
      <w:r>
        <w:rPr>
          <w:szCs w:val="22"/>
        </w:rPr>
        <w:t xml:space="preserve"> is </w:t>
      </w:r>
      <w:r w:rsidR="00297DF4">
        <w:rPr>
          <w:szCs w:val="22"/>
        </w:rPr>
        <w:t>used outdoors only</w:t>
      </w:r>
      <w:r>
        <w:rPr>
          <w:szCs w:val="22"/>
        </w:rPr>
        <w:t xml:space="preserve">. VOC emissions testing is not required. </w:t>
      </w:r>
    </w:p>
    <w:p w14:paraId="340880CC" w14:textId="77777777" w:rsidR="00AF62FD" w:rsidRDefault="00AF62FD" w:rsidP="00093EA9">
      <w:pPr>
        <w:ind w:left="720" w:hanging="360"/>
        <w:rPr>
          <w:szCs w:val="22"/>
        </w:rPr>
      </w:pPr>
    </w:p>
    <w:p w14:paraId="728F1CAF" w14:textId="784F5A05" w:rsidR="00285BBF" w:rsidRDefault="00322416" w:rsidP="00E62627">
      <w:pPr>
        <w:ind w:left="360" w:hanging="360"/>
        <w:rPr>
          <w:rFonts w:cs="Arial"/>
        </w:rPr>
      </w:pPr>
      <w:r w:rsidRPr="00B71C16">
        <w:rPr>
          <w:i/>
          <w:szCs w:val="22"/>
        </w:rPr>
        <w:fldChar w:fldCharType="begin">
          <w:ffData>
            <w:name w:val="Check65"/>
            <w:enabled/>
            <w:calcOnExit w:val="0"/>
            <w:checkBox>
              <w:sizeAuto/>
              <w:default w:val="0"/>
            </w:checkBox>
          </w:ffData>
        </w:fldChar>
      </w:r>
      <w:r w:rsidRPr="00B71C16">
        <w:rPr>
          <w:i/>
          <w:szCs w:val="22"/>
        </w:rPr>
        <w:instrText xml:space="preserve"> FORMCHECKBOX </w:instrText>
      </w:r>
      <w:r w:rsidR="001D001F">
        <w:rPr>
          <w:i/>
          <w:szCs w:val="22"/>
        </w:rPr>
      </w:r>
      <w:r w:rsidR="001D001F">
        <w:rPr>
          <w:i/>
          <w:szCs w:val="22"/>
        </w:rPr>
        <w:fldChar w:fldCharType="separate"/>
      </w:r>
      <w:r w:rsidRPr="00B71C16">
        <w:rPr>
          <w:szCs w:val="22"/>
        </w:rPr>
        <w:fldChar w:fldCharType="end"/>
      </w:r>
      <w:r w:rsidRPr="00B71C16">
        <w:rPr>
          <w:i/>
          <w:szCs w:val="22"/>
        </w:rPr>
        <w:t xml:space="preserve"> </w:t>
      </w:r>
      <w:r>
        <w:rPr>
          <w:szCs w:val="22"/>
        </w:rPr>
        <w:t xml:space="preserve">The product </w:t>
      </w:r>
      <w:r w:rsidR="00074687">
        <w:rPr>
          <w:szCs w:val="22"/>
        </w:rPr>
        <w:t>containing the EMC</w:t>
      </w:r>
      <w:r>
        <w:rPr>
          <w:szCs w:val="22"/>
        </w:rPr>
        <w:t xml:space="preserve"> is </w:t>
      </w:r>
      <w:r w:rsidR="007610AD">
        <w:rPr>
          <w:szCs w:val="22"/>
        </w:rPr>
        <w:t>not exclusively used outdoors</w:t>
      </w:r>
      <w:r w:rsidR="00FB522E">
        <w:rPr>
          <w:szCs w:val="22"/>
        </w:rPr>
        <w:t xml:space="preserve">. </w:t>
      </w:r>
      <w:r w:rsidR="00093EA9">
        <w:rPr>
          <w:rFonts w:cs="Arial"/>
        </w:rPr>
        <w:t>The p</w:t>
      </w:r>
      <w:r w:rsidR="00093EA9" w:rsidRPr="00261DD1">
        <w:rPr>
          <w:rFonts w:cs="Arial"/>
        </w:rPr>
        <w:t>roduct</w:t>
      </w:r>
      <w:r w:rsidR="00093EA9">
        <w:rPr>
          <w:rFonts w:cs="Arial"/>
        </w:rPr>
        <w:t xml:space="preserve"> meets the Cradle to Cradle Certified VOC emission standards as specified in Section 3.9 of the standard and guidance. Test results have been evaluated and are attached. </w:t>
      </w:r>
    </w:p>
    <w:p w14:paraId="47BB82B2" w14:textId="77777777" w:rsidR="00285BBF" w:rsidRDefault="00285BBF" w:rsidP="00E62627">
      <w:pPr>
        <w:ind w:left="360" w:hanging="360"/>
        <w:rPr>
          <w:rFonts w:cs="Arial"/>
        </w:rPr>
      </w:pPr>
    </w:p>
    <w:p w14:paraId="52B9E533" w14:textId="774C5DE8" w:rsidR="00093EA9" w:rsidRPr="00285BBF" w:rsidRDefault="00093EA9" w:rsidP="00EC7CB7">
      <w:pPr>
        <w:ind w:left="720"/>
        <w:rPr>
          <w:sz w:val="22"/>
          <w:szCs w:val="22"/>
        </w:rPr>
      </w:pPr>
      <w:r w:rsidRPr="00285BBF">
        <w:rPr>
          <w:rFonts w:cs="Arial"/>
          <w:i/>
          <w:sz w:val="22"/>
        </w:rPr>
        <w:t>Summarize the test results below by checking all that apply and completing any text fields required based on the chosen answers.</w:t>
      </w:r>
      <w:r w:rsidRPr="00285BBF">
        <w:rPr>
          <w:rFonts w:cs="Arial"/>
          <w:sz w:val="22"/>
        </w:rPr>
        <w:t xml:space="preserve"> </w:t>
      </w:r>
    </w:p>
    <w:p w14:paraId="409AA540" w14:textId="77777777" w:rsidR="00093EA9" w:rsidRDefault="00093EA9" w:rsidP="00093EA9">
      <w:pPr>
        <w:ind w:left="0"/>
        <w:rPr>
          <w:i/>
          <w:sz w:val="22"/>
          <w:szCs w:val="22"/>
        </w:rPr>
      </w:pPr>
    </w:p>
    <w:p w14:paraId="07C26C48" w14:textId="51D5096C" w:rsidR="00093EA9" w:rsidRPr="0006234D" w:rsidRDefault="00EC7CB7" w:rsidP="00EC7CB7">
      <w:pPr>
        <w:tabs>
          <w:tab w:val="left" w:pos="720"/>
        </w:tabs>
        <w:ind w:left="0" w:firstLine="360"/>
        <w:rPr>
          <w:b/>
          <w:szCs w:val="22"/>
        </w:rPr>
      </w:pPr>
      <w:r>
        <w:rPr>
          <w:b/>
          <w:szCs w:val="22"/>
        </w:rPr>
        <w:tab/>
      </w:r>
      <w:r w:rsidR="00093EA9" w:rsidRPr="0006234D">
        <w:rPr>
          <w:b/>
          <w:szCs w:val="22"/>
        </w:rPr>
        <w:t>Test Methods</w:t>
      </w:r>
    </w:p>
    <w:p w14:paraId="48C0CC70" w14:textId="0684166B" w:rsidR="00093EA9" w:rsidRDefault="00093EA9" w:rsidP="00EC7CB7">
      <w:pPr>
        <w:tabs>
          <w:tab w:val="left" w:pos="720"/>
        </w:tabs>
        <w:ind w:left="720"/>
        <w:rPr>
          <w:i/>
          <w:sz w:val="22"/>
          <w:szCs w:val="22"/>
        </w:rPr>
      </w:pPr>
      <w:r>
        <w:rPr>
          <w:i/>
          <w:sz w:val="22"/>
          <w:szCs w:val="22"/>
        </w:rPr>
        <w:t xml:space="preserve">Check one to indicate which of the following Standard-approved test methods has been used, and </w:t>
      </w:r>
      <w:r w:rsidRPr="00FD72A0">
        <w:rPr>
          <w:i/>
          <w:sz w:val="22"/>
          <w:szCs w:val="22"/>
        </w:rPr>
        <w:t>complete any text fields required based on the chosen answers.</w:t>
      </w:r>
    </w:p>
    <w:p w14:paraId="276FCD10" w14:textId="77777777" w:rsidR="00093EA9" w:rsidRDefault="00093EA9" w:rsidP="00EC7CB7">
      <w:pPr>
        <w:tabs>
          <w:tab w:val="left" w:pos="720"/>
        </w:tabs>
        <w:ind w:left="0"/>
        <w:rPr>
          <w:rFonts w:cs="Arial"/>
        </w:rPr>
      </w:pPr>
    </w:p>
    <w:p w14:paraId="071AB9A1" w14:textId="2901ACE0" w:rsidR="00093EA9" w:rsidRDefault="00EC7CB7" w:rsidP="00E80537">
      <w:pPr>
        <w:tabs>
          <w:tab w:val="left" w:pos="720"/>
        </w:tabs>
        <w:ind w:left="0" w:firstLine="360"/>
      </w:pPr>
      <w:r>
        <w:rPr>
          <w:rFonts w:cs="Arial"/>
        </w:rPr>
        <w:tab/>
      </w:r>
      <w:r w:rsidR="00093EA9" w:rsidRPr="00CE20A5">
        <w:rPr>
          <w:rFonts w:cs="Arial"/>
        </w:rPr>
        <w:fldChar w:fldCharType="begin">
          <w:ffData>
            <w:name w:val="Check16"/>
            <w:enabled/>
            <w:calcOnExit w:val="0"/>
            <w:checkBox>
              <w:sizeAuto/>
              <w:default w:val="0"/>
            </w:checkBox>
          </w:ffData>
        </w:fldChar>
      </w:r>
      <w:r w:rsidR="00093EA9" w:rsidRPr="00CE20A5">
        <w:rPr>
          <w:rFonts w:cs="Arial"/>
        </w:rPr>
        <w:instrText xml:space="preserve"> FORMCHECKBOX </w:instrText>
      </w:r>
      <w:r w:rsidR="001D001F">
        <w:rPr>
          <w:rFonts w:cs="Arial"/>
        </w:rPr>
      </w:r>
      <w:r w:rsidR="001D001F">
        <w:rPr>
          <w:rFonts w:cs="Arial"/>
        </w:rPr>
        <w:fldChar w:fldCharType="separate"/>
      </w:r>
      <w:r w:rsidR="00093EA9" w:rsidRPr="00CE20A5">
        <w:rPr>
          <w:rFonts w:cs="Arial"/>
        </w:rPr>
        <w:fldChar w:fldCharType="end"/>
      </w:r>
      <w:r w:rsidR="00093EA9" w:rsidRPr="00D324CF">
        <w:rPr>
          <w:rFonts w:cs="Arial"/>
        </w:rPr>
        <w:t xml:space="preserve"> </w:t>
      </w:r>
      <w:r w:rsidR="00093EA9" w:rsidRPr="00D324CF">
        <w:t>ASTM D5116 for small chamber or equivalent</w:t>
      </w:r>
    </w:p>
    <w:p w14:paraId="27500EA9" w14:textId="4437BC13" w:rsidR="00093EA9" w:rsidRPr="00D324CF" w:rsidRDefault="00EC7CB7" w:rsidP="00EC7CB7">
      <w:pPr>
        <w:tabs>
          <w:tab w:val="left" w:pos="720"/>
        </w:tabs>
        <w:ind w:left="0"/>
      </w:pPr>
      <w:r>
        <w:tab/>
      </w:r>
    </w:p>
    <w:p w14:paraId="454F3393" w14:textId="1F3470C5" w:rsidR="00093EA9" w:rsidRDefault="00EC7CB7" w:rsidP="00EC7CB7">
      <w:pPr>
        <w:tabs>
          <w:tab w:val="left" w:pos="720"/>
        </w:tabs>
        <w:ind w:left="0" w:firstLine="360"/>
      </w:pPr>
      <w:r>
        <w:rPr>
          <w:rFonts w:cs="Arial"/>
        </w:rPr>
        <w:tab/>
      </w:r>
      <w:r w:rsidR="00093EA9" w:rsidRPr="00CE20A5">
        <w:rPr>
          <w:rFonts w:cs="Arial"/>
        </w:rPr>
        <w:fldChar w:fldCharType="begin">
          <w:ffData>
            <w:name w:val="Check16"/>
            <w:enabled/>
            <w:calcOnExit w:val="0"/>
            <w:checkBox>
              <w:sizeAuto/>
              <w:default w:val="0"/>
            </w:checkBox>
          </w:ffData>
        </w:fldChar>
      </w:r>
      <w:r w:rsidR="00093EA9" w:rsidRPr="00CE20A5">
        <w:rPr>
          <w:rFonts w:cs="Arial"/>
        </w:rPr>
        <w:instrText xml:space="preserve"> FORMCHECKBOX </w:instrText>
      </w:r>
      <w:r w:rsidR="001D001F">
        <w:rPr>
          <w:rFonts w:cs="Arial"/>
        </w:rPr>
      </w:r>
      <w:r w:rsidR="001D001F">
        <w:rPr>
          <w:rFonts w:cs="Arial"/>
        </w:rPr>
        <w:fldChar w:fldCharType="separate"/>
      </w:r>
      <w:r w:rsidR="00093EA9" w:rsidRPr="00CE20A5">
        <w:rPr>
          <w:rFonts w:cs="Arial"/>
        </w:rPr>
        <w:fldChar w:fldCharType="end"/>
      </w:r>
      <w:r w:rsidR="00093EA9" w:rsidRPr="00D324CF">
        <w:rPr>
          <w:rFonts w:cs="Arial"/>
        </w:rPr>
        <w:t xml:space="preserve"> </w:t>
      </w:r>
      <w:r w:rsidR="00093EA9">
        <w:t>EU standard</w:t>
      </w:r>
    </w:p>
    <w:p w14:paraId="0A7A6180" w14:textId="77777777" w:rsidR="00093EA9" w:rsidRPr="00D324CF" w:rsidRDefault="00093EA9" w:rsidP="00EC7CB7">
      <w:pPr>
        <w:tabs>
          <w:tab w:val="left" w:pos="720"/>
        </w:tabs>
        <w:ind w:left="0"/>
      </w:pPr>
    </w:p>
    <w:p w14:paraId="13FB2FD6" w14:textId="06C52501" w:rsidR="00093EA9" w:rsidRDefault="00EC7CB7" w:rsidP="00EC7CB7">
      <w:pPr>
        <w:tabs>
          <w:tab w:val="left" w:pos="720"/>
        </w:tabs>
        <w:ind w:left="0" w:firstLine="360"/>
      </w:pPr>
      <w:r>
        <w:rPr>
          <w:rFonts w:cs="Arial"/>
        </w:rPr>
        <w:tab/>
      </w:r>
      <w:r w:rsidR="00093EA9" w:rsidRPr="00CE20A5">
        <w:rPr>
          <w:rFonts w:cs="Arial"/>
        </w:rPr>
        <w:fldChar w:fldCharType="begin">
          <w:ffData>
            <w:name w:val="Check16"/>
            <w:enabled/>
            <w:calcOnExit w:val="0"/>
            <w:checkBox>
              <w:sizeAuto/>
              <w:default w:val="0"/>
            </w:checkBox>
          </w:ffData>
        </w:fldChar>
      </w:r>
      <w:r w:rsidR="00093EA9" w:rsidRPr="00CE20A5">
        <w:rPr>
          <w:rFonts w:cs="Arial"/>
        </w:rPr>
        <w:instrText xml:space="preserve"> FORMCHECKBOX </w:instrText>
      </w:r>
      <w:r w:rsidR="001D001F">
        <w:rPr>
          <w:rFonts w:cs="Arial"/>
        </w:rPr>
      </w:r>
      <w:r w:rsidR="001D001F">
        <w:rPr>
          <w:rFonts w:cs="Arial"/>
        </w:rPr>
        <w:fldChar w:fldCharType="separate"/>
      </w:r>
      <w:r w:rsidR="00093EA9" w:rsidRPr="00CE20A5">
        <w:rPr>
          <w:rFonts w:cs="Arial"/>
        </w:rPr>
        <w:fldChar w:fldCharType="end"/>
      </w:r>
      <w:r w:rsidR="00093EA9" w:rsidRPr="00D324CF">
        <w:rPr>
          <w:rFonts w:cs="Arial"/>
        </w:rPr>
        <w:t xml:space="preserve"> </w:t>
      </w:r>
      <w:r w:rsidR="00093EA9" w:rsidRPr="00D324CF">
        <w:t>ASTM D6670 for large chambe</w:t>
      </w:r>
      <w:r w:rsidR="00093EA9">
        <w:t>r or equivalent EU standard</w:t>
      </w:r>
    </w:p>
    <w:p w14:paraId="2666F165" w14:textId="3BEC434C" w:rsidR="00093EA9" w:rsidRDefault="00093EA9" w:rsidP="00346414">
      <w:pPr>
        <w:tabs>
          <w:tab w:val="left" w:pos="1440"/>
        </w:tabs>
        <w:ind w:left="1440"/>
      </w:pPr>
      <w:r w:rsidRPr="00346414">
        <w:rPr>
          <w:b/>
        </w:rPr>
        <w:t>Name of equivalent EU standard, if applicable:</w:t>
      </w:r>
      <w:r>
        <w:t xml:space="preserve"> </w:t>
      </w:r>
      <w:r>
        <w:fldChar w:fldCharType="begin">
          <w:ffData>
            <w:name w:val="Text67"/>
            <w:enabled/>
            <w:calcOnExit w:val="0"/>
            <w:textInput/>
          </w:ffData>
        </w:fldChar>
      </w:r>
      <w:bookmarkStart w:id="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6478290" w14:textId="77777777" w:rsidR="00093EA9" w:rsidRPr="00D324CF" w:rsidRDefault="00093EA9" w:rsidP="00EC7CB7">
      <w:pPr>
        <w:tabs>
          <w:tab w:val="left" w:pos="720"/>
        </w:tabs>
        <w:ind w:left="0" w:firstLine="360"/>
      </w:pPr>
    </w:p>
    <w:p w14:paraId="1068A41C" w14:textId="510EB5EC" w:rsidR="00093EA9" w:rsidRDefault="00EC7CB7" w:rsidP="00EC7CB7">
      <w:pPr>
        <w:tabs>
          <w:tab w:val="left" w:pos="720"/>
        </w:tabs>
        <w:ind w:left="0" w:firstLine="360"/>
      </w:pPr>
      <w:r>
        <w:rPr>
          <w:rFonts w:cs="Arial"/>
        </w:rPr>
        <w:tab/>
      </w:r>
      <w:r w:rsidR="00093EA9" w:rsidRPr="00CE20A5">
        <w:rPr>
          <w:rFonts w:cs="Arial"/>
        </w:rPr>
        <w:fldChar w:fldCharType="begin">
          <w:ffData>
            <w:name w:val="Check16"/>
            <w:enabled/>
            <w:calcOnExit w:val="0"/>
            <w:checkBox>
              <w:sizeAuto/>
              <w:default w:val="0"/>
            </w:checkBox>
          </w:ffData>
        </w:fldChar>
      </w:r>
      <w:r w:rsidR="00093EA9" w:rsidRPr="00CE20A5">
        <w:rPr>
          <w:rFonts w:cs="Arial"/>
        </w:rPr>
        <w:instrText xml:space="preserve"> FORMCHECKBOX </w:instrText>
      </w:r>
      <w:r w:rsidR="001D001F">
        <w:rPr>
          <w:rFonts w:cs="Arial"/>
        </w:rPr>
      </w:r>
      <w:r w:rsidR="001D001F">
        <w:rPr>
          <w:rFonts w:cs="Arial"/>
        </w:rPr>
        <w:fldChar w:fldCharType="separate"/>
      </w:r>
      <w:r w:rsidR="00093EA9" w:rsidRPr="00CE20A5">
        <w:rPr>
          <w:rFonts w:cs="Arial"/>
        </w:rPr>
        <w:fldChar w:fldCharType="end"/>
      </w:r>
      <w:r w:rsidR="00093EA9" w:rsidRPr="00D324CF">
        <w:rPr>
          <w:rFonts w:cs="Arial"/>
        </w:rPr>
        <w:t xml:space="preserve"> </w:t>
      </w:r>
      <w:r w:rsidR="00467B2A">
        <w:rPr>
          <w:rFonts w:cs="Arial"/>
        </w:rPr>
        <w:t>ANSI/</w:t>
      </w:r>
      <w:r w:rsidR="00093EA9" w:rsidRPr="00D324CF">
        <w:t>BIFMA M7.1 for office furn</w:t>
      </w:r>
      <w:r w:rsidR="00093EA9">
        <w:t>iture or equivalent EU standard</w:t>
      </w:r>
    </w:p>
    <w:p w14:paraId="196C78D3" w14:textId="71DE8430" w:rsidR="00093EA9" w:rsidRDefault="00450C78" w:rsidP="00450C78">
      <w:pPr>
        <w:tabs>
          <w:tab w:val="left" w:pos="1080"/>
        </w:tabs>
        <w:ind w:left="1080" w:hanging="360"/>
      </w:pPr>
      <w:r>
        <w:tab/>
      </w:r>
      <w:r w:rsidR="00346414">
        <w:tab/>
      </w:r>
      <w:r w:rsidR="00093EA9" w:rsidRPr="00346414">
        <w:rPr>
          <w:b/>
        </w:rPr>
        <w:t>Name of equivalent EU standard, if applicable:</w:t>
      </w:r>
      <w:r w:rsidR="00093EA9">
        <w:t xml:space="preserve"> </w:t>
      </w:r>
      <w:r w:rsidR="00093EA9">
        <w:fldChar w:fldCharType="begin">
          <w:ffData>
            <w:name w:val="Text67"/>
            <w:enabled/>
            <w:calcOnExit w:val="0"/>
            <w:textInput/>
          </w:ffData>
        </w:fldChar>
      </w:r>
      <w:r w:rsidR="00093EA9">
        <w:instrText xml:space="preserve"> FORMTEXT </w:instrText>
      </w:r>
      <w:r w:rsidR="00093EA9">
        <w:fldChar w:fldCharType="separate"/>
      </w:r>
      <w:r w:rsidR="00093EA9">
        <w:rPr>
          <w:noProof/>
        </w:rPr>
        <w:t> </w:t>
      </w:r>
      <w:r w:rsidR="00093EA9">
        <w:rPr>
          <w:noProof/>
        </w:rPr>
        <w:t> </w:t>
      </w:r>
      <w:r w:rsidR="00093EA9">
        <w:rPr>
          <w:noProof/>
        </w:rPr>
        <w:t> </w:t>
      </w:r>
      <w:r w:rsidR="00093EA9">
        <w:rPr>
          <w:noProof/>
        </w:rPr>
        <w:t> </w:t>
      </w:r>
      <w:r w:rsidR="00093EA9">
        <w:rPr>
          <w:noProof/>
        </w:rPr>
        <w:t> </w:t>
      </w:r>
      <w:r w:rsidR="00093EA9">
        <w:fldChar w:fldCharType="end"/>
      </w:r>
    </w:p>
    <w:p w14:paraId="71640865" w14:textId="77777777" w:rsidR="00093EA9" w:rsidRPr="00D324CF" w:rsidRDefault="00093EA9" w:rsidP="00EC7CB7">
      <w:pPr>
        <w:tabs>
          <w:tab w:val="left" w:pos="720"/>
        </w:tabs>
        <w:ind w:left="0" w:firstLine="360"/>
      </w:pPr>
    </w:p>
    <w:p w14:paraId="25A3116A" w14:textId="2E099C11" w:rsidR="00093EA9" w:rsidRDefault="00EC7CB7" w:rsidP="00EC7CB7">
      <w:pPr>
        <w:tabs>
          <w:tab w:val="left" w:pos="720"/>
        </w:tabs>
        <w:ind w:left="0" w:firstLine="360"/>
        <w:rPr>
          <w:rFonts w:cs="Arial"/>
        </w:rPr>
      </w:pPr>
      <w:r>
        <w:rPr>
          <w:rFonts w:cs="Arial"/>
        </w:rPr>
        <w:tab/>
      </w:r>
      <w:r w:rsidR="00093EA9" w:rsidRPr="00BE15DE">
        <w:rPr>
          <w:rFonts w:cs="Arial"/>
        </w:rPr>
        <w:fldChar w:fldCharType="begin">
          <w:ffData>
            <w:name w:val="Check16"/>
            <w:enabled/>
            <w:calcOnExit w:val="0"/>
            <w:checkBox>
              <w:sizeAuto/>
              <w:default w:val="0"/>
            </w:checkBox>
          </w:ffData>
        </w:fldChar>
      </w:r>
      <w:r w:rsidR="00093EA9" w:rsidRPr="00BE15DE">
        <w:rPr>
          <w:rFonts w:cs="Arial"/>
        </w:rPr>
        <w:instrText xml:space="preserve"> FORMCHECKBOX </w:instrText>
      </w:r>
      <w:r w:rsidR="001D001F">
        <w:rPr>
          <w:rFonts w:cs="Arial"/>
        </w:rPr>
      </w:r>
      <w:r w:rsidR="001D001F">
        <w:rPr>
          <w:rFonts w:cs="Arial"/>
        </w:rPr>
        <w:fldChar w:fldCharType="separate"/>
      </w:r>
      <w:r w:rsidR="00093EA9" w:rsidRPr="00BE15DE">
        <w:rPr>
          <w:rFonts w:cs="Arial"/>
        </w:rPr>
        <w:fldChar w:fldCharType="end"/>
      </w:r>
      <w:r w:rsidR="00093EA9" w:rsidRPr="00D324CF">
        <w:rPr>
          <w:rFonts w:cs="Arial"/>
        </w:rPr>
        <w:t xml:space="preserve"> ISO 16000 series</w:t>
      </w:r>
      <w:r w:rsidR="008048A0">
        <w:rPr>
          <w:rFonts w:cs="Arial"/>
        </w:rPr>
        <w:t xml:space="preserve"> for VOCs</w:t>
      </w:r>
    </w:p>
    <w:p w14:paraId="7BDFD9C2" w14:textId="77777777" w:rsidR="00093EA9" w:rsidRDefault="00093EA9" w:rsidP="00EC7CB7">
      <w:pPr>
        <w:tabs>
          <w:tab w:val="left" w:pos="720"/>
        </w:tabs>
        <w:ind w:left="0"/>
        <w:rPr>
          <w:rFonts w:cs="Arial"/>
        </w:rPr>
      </w:pPr>
    </w:p>
    <w:p w14:paraId="55B1E7E7" w14:textId="197252FC" w:rsidR="00093EA9" w:rsidRPr="00E43886" w:rsidRDefault="00450C78" w:rsidP="00EC7CB7">
      <w:pPr>
        <w:tabs>
          <w:tab w:val="left" w:pos="720"/>
        </w:tabs>
        <w:ind w:left="0" w:firstLine="360"/>
        <w:rPr>
          <w:rFonts w:cs="Arial"/>
          <w:b/>
        </w:rPr>
      </w:pPr>
      <w:r>
        <w:rPr>
          <w:rFonts w:cs="Arial"/>
          <w:b/>
        </w:rPr>
        <w:tab/>
      </w:r>
      <w:r w:rsidR="00093EA9">
        <w:rPr>
          <w:rFonts w:cs="Arial"/>
          <w:b/>
        </w:rPr>
        <w:t>Loading Scenarios</w:t>
      </w:r>
    </w:p>
    <w:p w14:paraId="251A6FA6" w14:textId="08E37A28" w:rsidR="00093EA9" w:rsidRDefault="00093EA9" w:rsidP="00450C78">
      <w:pPr>
        <w:tabs>
          <w:tab w:val="left" w:pos="720"/>
        </w:tabs>
        <w:ind w:left="720"/>
        <w:rPr>
          <w:rFonts w:cs="Arial"/>
          <w:i/>
          <w:sz w:val="22"/>
        </w:rPr>
      </w:pPr>
      <w:r>
        <w:rPr>
          <w:rFonts w:cs="Arial"/>
          <w:i/>
          <w:sz w:val="22"/>
        </w:rPr>
        <w:t>Check one to i</w:t>
      </w:r>
      <w:r w:rsidRPr="00815F57">
        <w:rPr>
          <w:rFonts w:cs="Arial"/>
          <w:i/>
          <w:sz w:val="22"/>
        </w:rPr>
        <w:t xml:space="preserve">ndicate which of the following Standard-approved </w:t>
      </w:r>
      <w:r>
        <w:rPr>
          <w:rFonts w:cs="Arial"/>
          <w:i/>
          <w:sz w:val="22"/>
        </w:rPr>
        <w:t>loading scenarios has been used</w:t>
      </w:r>
      <w:r>
        <w:rPr>
          <w:i/>
          <w:sz w:val="22"/>
          <w:szCs w:val="22"/>
        </w:rPr>
        <w:t>.</w:t>
      </w:r>
    </w:p>
    <w:p w14:paraId="0239E7E9" w14:textId="77777777" w:rsidR="00093EA9" w:rsidRDefault="00093EA9" w:rsidP="00EC7CB7">
      <w:pPr>
        <w:tabs>
          <w:tab w:val="left" w:pos="720"/>
        </w:tabs>
        <w:ind w:left="0" w:firstLine="360"/>
        <w:rPr>
          <w:rFonts w:cs="Arial"/>
          <w:i/>
          <w:sz w:val="22"/>
        </w:rPr>
      </w:pPr>
    </w:p>
    <w:p w14:paraId="02827664" w14:textId="5B304D3C" w:rsidR="00093EA9" w:rsidRDefault="00450C78" w:rsidP="00EC7CB7">
      <w:pPr>
        <w:tabs>
          <w:tab w:val="left" w:pos="720"/>
        </w:tabs>
        <w:ind w:left="0" w:firstLine="360"/>
        <w:rPr>
          <w:rFonts w:cs="Arial"/>
        </w:rPr>
      </w:pPr>
      <w:r>
        <w:rPr>
          <w:rFonts w:cs="Arial"/>
        </w:rPr>
        <w:tab/>
      </w:r>
      <w:r w:rsidR="00093EA9" w:rsidRPr="00BE15DE">
        <w:rPr>
          <w:rFonts w:cs="Arial"/>
        </w:rPr>
        <w:fldChar w:fldCharType="begin">
          <w:ffData>
            <w:name w:val="Check16"/>
            <w:enabled/>
            <w:calcOnExit w:val="0"/>
            <w:checkBox>
              <w:sizeAuto/>
              <w:default w:val="0"/>
            </w:checkBox>
          </w:ffData>
        </w:fldChar>
      </w:r>
      <w:r w:rsidR="00093EA9" w:rsidRPr="00BE15DE">
        <w:rPr>
          <w:rFonts w:cs="Arial"/>
        </w:rPr>
        <w:instrText xml:space="preserve"> FORMCHECKBOX </w:instrText>
      </w:r>
      <w:r w:rsidR="001D001F">
        <w:rPr>
          <w:rFonts w:cs="Arial"/>
        </w:rPr>
      </w:r>
      <w:r w:rsidR="001D001F">
        <w:rPr>
          <w:rFonts w:cs="Arial"/>
        </w:rPr>
        <w:fldChar w:fldCharType="separate"/>
      </w:r>
      <w:r w:rsidR="00093EA9" w:rsidRPr="00BE15DE">
        <w:rPr>
          <w:rFonts w:cs="Arial"/>
        </w:rPr>
        <w:fldChar w:fldCharType="end"/>
      </w:r>
      <w:r w:rsidR="00093EA9" w:rsidRPr="00D324CF">
        <w:rPr>
          <w:rFonts w:cs="Arial"/>
        </w:rPr>
        <w:t xml:space="preserve"> </w:t>
      </w:r>
      <w:r w:rsidR="00A6244F">
        <w:rPr>
          <w:rFonts w:cs="Arial"/>
        </w:rPr>
        <w:t>ANSI/</w:t>
      </w:r>
      <w:r w:rsidR="00093EA9">
        <w:rPr>
          <w:rFonts w:cs="Arial"/>
        </w:rPr>
        <w:t>BIFMA M7.1 (for office furniture)</w:t>
      </w:r>
    </w:p>
    <w:p w14:paraId="62049C44" w14:textId="77777777" w:rsidR="00093EA9" w:rsidRPr="006A7438" w:rsidRDefault="00093EA9" w:rsidP="00EC7CB7">
      <w:pPr>
        <w:tabs>
          <w:tab w:val="left" w:pos="720"/>
        </w:tabs>
        <w:ind w:left="0" w:firstLine="360"/>
        <w:rPr>
          <w:rFonts w:cs="Arial"/>
        </w:rPr>
      </w:pPr>
    </w:p>
    <w:p w14:paraId="65EBC78B" w14:textId="6744D20C" w:rsidR="00093EA9" w:rsidRPr="006A7438" w:rsidRDefault="00450C78" w:rsidP="00EC7CB7">
      <w:pPr>
        <w:tabs>
          <w:tab w:val="left" w:pos="720"/>
        </w:tabs>
        <w:ind w:left="1080" w:hanging="720"/>
        <w:rPr>
          <w:rFonts w:cs="Arial"/>
        </w:rPr>
      </w:pPr>
      <w:r>
        <w:rPr>
          <w:rFonts w:cs="Arial"/>
        </w:rPr>
        <w:tab/>
      </w:r>
      <w:r w:rsidR="00093EA9" w:rsidRPr="00BE15DE">
        <w:rPr>
          <w:rFonts w:cs="Arial"/>
        </w:rPr>
        <w:fldChar w:fldCharType="begin">
          <w:ffData>
            <w:name w:val="Check16"/>
            <w:enabled/>
            <w:calcOnExit w:val="0"/>
            <w:checkBox>
              <w:sizeAuto/>
              <w:default w:val="0"/>
            </w:checkBox>
          </w:ffData>
        </w:fldChar>
      </w:r>
      <w:r w:rsidR="00093EA9" w:rsidRPr="00BE15DE">
        <w:rPr>
          <w:rFonts w:cs="Arial"/>
        </w:rPr>
        <w:instrText xml:space="preserve"> FORMCHECKBOX </w:instrText>
      </w:r>
      <w:r w:rsidR="001D001F">
        <w:rPr>
          <w:rFonts w:cs="Arial"/>
        </w:rPr>
      </w:r>
      <w:r w:rsidR="001D001F">
        <w:rPr>
          <w:rFonts w:cs="Arial"/>
        </w:rPr>
        <w:fldChar w:fldCharType="separate"/>
      </w:r>
      <w:r w:rsidR="00093EA9" w:rsidRPr="00BE15DE">
        <w:rPr>
          <w:rFonts w:cs="Arial"/>
        </w:rPr>
        <w:fldChar w:fldCharType="end"/>
      </w:r>
      <w:r w:rsidR="00093EA9" w:rsidRPr="00D324CF">
        <w:rPr>
          <w:rFonts w:cs="Arial"/>
        </w:rPr>
        <w:t xml:space="preserve"> </w:t>
      </w:r>
      <w:r w:rsidR="00093EA9" w:rsidRPr="006A7438">
        <w:rPr>
          <w:rFonts w:cs="Arial"/>
        </w:rPr>
        <w:t>California Department of Health Services secti</w:t>
      </w:r>
      <w:r w:rsidR="00093EA9">
        <w:rPr>
          <w:rFonts w:cs="Arial"/>
        </w:rPr>
        <w:t>on 01350 (for all other products)</w:t>
      </w:r>
    </w:p>
    <w:p w14:paraId="215318CF" w14:textId="77777777" w:rsidR="00093EA9" w:rsidRDefault="00093EA9" w:rsidP="00EC7CB7">
      <w:pPr>
        <w:tabs>
          <w:tab w:val="left" w:pos="720"/>
        </w:tabs>
        <w:ind w:left="0" w:firstLine="360"/>
        <w:rPr>
          <w:sz w:val="22"/>
          <w:szCs w:val="22"/>
        </w:rPr>
      </w:pPr>
    </w:p>
    <w:p w14:paraId="0BEB739A" w14:textId="45765078" w:rsidR="00093EA9" w:rsidRPr="00946889" w:rsidRDefault="00450C78" w:rsidP="00EC7CB7">
      <w:pPr>
        <w:tabs>
          <w:tab w:val="left" w:pos="720"/>
        </w:tabs>
        <w:ind w:left="0" w:firstLine="360"/>
        <w:rPr>
          <w:b/>
          <w:szCs w:val="22"/>
        </w:rPr>
      </w:pPr>
      <w:r>
        <w:rPr>
          <w:b/>
          <w:szCs w:val="22"/>
        </w:rPr>
        <w:tab/>
      </w:r>
      <w:r w:rsidR="00093EA9" w:rsidRPr="00946889">
        <w:rPr>
          <w:b/>
          <w:szCs w:val="22"/>
        </w:rPr>
        <w:t>Thresholds</w:t>
      </w:r>
    </w:p>
    <w:p w14:paraId="62BE8979" w14:textId="66F9D865" w:rsidR="00093EA9" w:rsidRPr="00F54A48" w:rsidRDefault="00450C78" w:rsidP="00EC7CB7">
      <w:pPr>
        <w:tabs>
          <w:tab w:val="left" w:pos="720"/>
        </w:tabs>
        <w:ind w:left="720" w:hanging="360"/>
        <w:rPr>
          <w:i/>
          <w:sz w:val="22"/>
          <w:szCs w:val="22"/>
        </w:rPr>
      </w:pPr>
      <w:r>
        <w:rPr>
          <w:i/>
          <w:sz w:val="22"/>
          <w:szCs w:val="22"/>
        </w:rPr>
        <w:tab/>
      </w:r>
      <w:r w:rsidR="00093EA9">
        <w:rPr>
          <w:i/>
          <w:sz w:val="22"/>
          <w:szCs w:val="22"/>
        </w:rPr>
        <w:t xml:space="preserve">Check all that apply, and </w:t>
      </w:r>
      <w:r w:rsidR="00093EA9" w:rsidRPr="00FD72A0">
        <w:rPr>
          <w:i/>
          <w:sz w:val="22"/>
          <w:szCs w:val="22"/>
        </w:rPr>
        <w:t>complete any text fields required based on the chosen answers.</w:t>
      </w:r>
    </w:p>
    <w:p w14:paraId="42ACDF71" w14:textId="77777777" w:rsidR="00093EA9" w:rsidRDefault="00093EA9" w:rsidP="00EC7CB7">
      <w:pPr>
        <w:tabs>
          <w:tab w:val="left" w:pos="720"/>
        </w:tabs>
        <w:ind w:left="0"/>
        <w:rPr>
          <w:szCs w:val="22"/>
        </w:rPr>
      </w:pPr>
    </w:p>
    <w:p w14:paraId="7D04CEE2" w14:textId="2E4E8401" w:rsidR="00093EA9" w:rsidRDefault="00093EA9" w:rsidP="00C33A14">
      <w:pPr>
        <w:tabs>
          <w:tab w:val="left" w:pos="990"/>
        </w:tabs>
        <w:ind w:left="1080" w:hanging="360"/>
        <w:rPr>
          <w:szCs w:val="22"/>
        </w:rPr>
      </w:pPr>
      <w:r w:rsidRPr="00BE15DE">
        <w:rPr>
          <w:rFonts w:cs="Arial"/>
        </w:rPr>
        <w:fldChar w:fldCharType="begin">
          <w:ffData>
            <w:name w:val="Check16"/>
            <w:enabled/>
            <w:calcOnExit w:val="0"/>
            <w:checkBox>
              <w:sizeAuto/>
              <w:default w:val="0"/>
            </w:checkBox>
          </w:ffData>
        </w:fldChar>
      </w:r>
      <w:r w:rsidRPr="00BE15DE">
        <w:rPr>
          <w:rFonts w:cs="Arial"/>
        </w:rPr>
        <w:instrText xml:space="preserve"> FORMCHECKBOX </w:instrText>
      </w:r>
      <w:r w:rsidR="001D001F">
        <w:rPr>
          <w:rFonts w:cs="Arial"/>
        </w:rPr>
      </w:r>
      <w:r w:rsidR="001D001F">
        <w:rPr>
          <w:rFonts w:cs="Arial"/>
        </w:rPr>
        <w:fldChar w:fldCharType="separate"/>
      </w:r>
      <w:r w:rsidRPr="00BE15DE">
        <w:rPr>
          <w:rFonts w:cs="Arial"/>
        </w:rPr>
        <w:fldChar w:fldCharType="end"/>
      </w:r>
      <w:r w:rsidRPr="00D324CF">
        <w:rPr>
          <w:rFonts w:cs="Arial"/>
        </w:rPr>
        <w:t xml:space="preserve"> </w:t>
      </w:r>
      <w:r w:rsidR="00AB6809">
        <w:rPr>
          <w:rFonts w:cs="Arial"/>
          <w:i/>
        </w:rPr>
        <w:t xml:space="preserve">Required. </w:t>
      </w:r>
      <w:r w:rsidRPr="00454E8A">
        <w:rPr>
          <w:szCs w:val="22"/>
        </w:rPr>
        <w:t>VOCs that are considered known carcinogens, endocrine disruptors, mutagens, reproductive toxins, or teratoge</w:t>
      </w:r>
      <w:r>
        <w:rPr>
          <w:szCs w:val="22"/>
        </w:rPr>
        <w:t>ns are below detection limits. D</w:t>
      </w:r>
      <w:r w:rsidRPr="00454E8A">
        <w:rPr>
          <w:szCs w:val="22"/>
        </w:rPr>
        <w:t xml:space="preserve">etection limits </w:t>
      </w:r>
      <w:r>
        <w:rPr>
          <w:szCs w:val="22"/>
        </w:rPr>
        <w:t>are &lt;</w:t>
      </w:r>
      <w:r w:rsidRPr="00454E8A">
        <w:rPr>
          <w:szCs w:val="22"/>
        </w:rPr>
        <w:t>9.0 μg/m</w:t>
      </w:r>
      <w:r w:rsidRPr="00814899">
        <w:rPr>
          <w:szCs w:val="22"/>
          <w:vertAlign w:val="superscript"/>
        </w:rPr>
        <w:t>3</w:t>
      </w:r>
      <w:r w:rsidRPr="00454E8A">
        <w:rPr>
          <w:szCs w:val="22"/>
        </w:rPr>
        <w:t xml:space="preserve"> for formaldehy</w:t>
      </w:r>
      <w:r>
        <w:rPr>
          <w:szCs w:val="22"/>
        </w:rPr>
        <w:t>de and &lt;</w:t>
      </w:r>
      <w:r w:rsidRPr="00454E8A">
        <w:rPr>
          <w:szCs w:val="22"/>
        </w:rPr>
        <w:t>2µg/m</w:t>
      </w:r>
      <w:r w:rsidRPr="00814899">
        <w:rPr>
          <w:szCs w:val="22"/>
          <w:vertAlign w:val="superscript"/>
        </w:rPr>
        <w:t>3</w:t>
      </w:r>
      <w:r>
        <w:rPr>
          <w:szCs w:val="22"/>
        </w:rPr>
        <w:t xml:space="preserve"> for all other chemicals.</w:t>
      </w:r>
      <w:r w:rsidRPr="00454E8A">
        <w:rPr>
          <w:szCs w:val="22"/>
        </w:rPr>
        <w:t xml:space="preserve"> </w:t>
      </w:r>
    </w:p>
    <w:p w14:paraId="3C81B654" w14:textId="663A1263" w:rsidR="00093EA9" w:rsidRDefault="00093EA9" w:rsidP="00DF41EB">
      <w:pPr>
        <w:tabs>
          <w:tab w:val="left" w:pos="720"/>
        </w:tabs>
        <w:ind w:left="1440"/>
        <w:rPr>
          <w:szCs w:val="22"/>
        </w:rPr>
      </w:pPr>
      <w:r w:rsidRPr="00DF41EB">
        <w:rPr>
          <w:b/>
          <w:szCs w:val="22"/>
        </w:rPr>
        <w:t>Description of detection limits:</w:t>
      </w:r>
      <w:r>
        <w:rPr>
          <w:szCs w:val="22"/>
        </w:rPr>
        <w:t xml:space="preserve"> </w:t>
      </w:r>
      <w:r>
        <w:rPr>
          <w:szCs w:val="22"/>
        </w:rPr>
        <w:fldChar w:fldCharType="begin">
          <w:ffData>
            <w:name w:val="Text68"/>
            <w:enabled/>
            <w:calcOnExit w:val="0"/>
            <w:textInput/>
          </w:ffData>
        </w:fldChar>
      </w:r>
      <w:bookmarkStart w:id="10" w:name="Text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p w14:paraId="573C82AA" w14:textId="77777777" w:rsidR="00093EA9" w:rsidRDefault="00093EA9" w:rsidP="00EC7CB7">
      <w:pPr>
        <w:tabs>
          <w:tab w:val="left" w:pos="720"/>
        </w:tabs>
        <w:ind w:left="0"/>
        <w:rPr>
          <w:szCs w:val="22"/>
        </w:rPr>
      </w:pPr>
    </w:p>
    <w:p w14:paraId="5375FA61" w14:textId="2716180C" w:rsidR="00093EA9" w:rsidRDefault="00AD4DAD" w:rsidP="005218B3">
      <w:pPr>
        <w:tabs>
          <w:tab w:val="left" w:pos="720"/>
        </w:tabs>
        <w:ind w:left="0" w:firstLine="360"/>
        <w:rPr>
          <w:szCs w:val="22"/>
        </w:rPr>
      </w:pPr>
      <w:r>
        <w:rPr>
          <w:rFonts w:cs="Arial"/>
        </w:rPr>
        <w:tab/>
      </w:r>
      <w:r w:rsidR="00093EA9" w:rsidRPr="00BE15DE">
        <w:rPr>
          <w:rFonts w:cs="Arial"/>
        </w:rPr>
        <w:fldChar w:fldCharType="begin">
          <w:ffData>
            <w:name w:val="Check16"/>
            <w:enabled/>
            <w:calcOnExit w:val="0"/>
            <w:checkBox>
              <w:sizeAuto/>
              <w:default w:val="0"/>
            </w:checkBox>
          </w:ffData>
        </w:fldChar>
      </w:r>
      <w:r w:rsidR="00093EA9" w:rsidRPr="00BE15DE">
        <w:rPr>
          <w:rFonts w:cs="Arial"/>
        </w:rPr>
        <w:instrText xml:space="preserve"> FORMCHECKBOX </w:instrText>
      </w:r>
      <w:r w:rsidR="001D001F">
        <w:rPr>
          <w:rFonts w:cs="Arial"/>
        </w:rPr>
      </w:r>
      <w:r w:rsidR="001D001F">
        <w:rPr>
          <w:rFonts w:cs="Arial"/>
        </w:rPr>
        <w:fldChar w:fldCharType="separate"/>
      </w:r>
      <w:r w:rsidR="00093EA9" w:rsidRPr="00BE15DE">
        <w:rPr>
          <w:rFonts w:cs="Arial"/>
        </w:rPr>
        <w:fldChar w:fldCharType="end"/>
      </w:r>
      <w:r w:rsidR="00093EA9" w:rsidRPr="00D324CF">
        <w:rPr>
          <w:rFonts w:cs="Arial"/>
        </w:rPr>
        <w:t xml:space="preserve"> </w:t>
      </w:r>
      <w:r w:rsidR="00F8032B">
        <w:rPr>
          <w:rFonts w:cs="Arial"/>
          <w:i/>
        </w:rPr>
        <w:t xml:space="preserve">Required. </w:t>
      </w:r>
      <w:r w:rsidR="0035533F">
        <w:rPr>
          <w:szCs w:val="22"/>
        </w:rPr>
        <w:t>Total VOC emissions are</w:t>
      </w:r>
      <w:r w:rsidR="00093EA9">
        <w:rPr>
          <w:szCs w:val="22"/>
        </w:rPr>
        <w:t xml:space="preserve"> &lt;</w:t>
      </w:r>
      <w:r w:rsidR="00093EA9" w:rsidRPr="00454E8A">
        <w:rPr>
          <w:szCs w:val="22"/>
        </w:rPr>
        <w:t>0.5 mg/m</w:t>
      </w:r>
      <w:r w:rsidR="00093EA9" w:rsidRPr="00B4134A">
        <w:rPr>
          <w:szCs w:val="22"/>
          <w:vertAlign w:val="superscript"/>
        </w:rPr>
        <w:t>3</w:t>
      </w:r>
      <w:r w:rsidR="00093EA9">
        <w:rPr>
          <w:szCs w:val="22"/>
        </w:rPr>
        <w:t xml:space="preserve">. </w:t>
      </w:r>
    </w:p>
    <w:p w14:paraId="70133BBE" w14:textId="77777777" w:rsidR="00093EA9" w:rsidRDefault="00093EA9" w:rsidP="00EC7CB7">
      <w:pPr>
        <w:tabs>
          <w:tab w:val="left" w:pos="720"/>
        </w:tabs>
        <w:ind w:left="0"/>
        <w:rPr>
          <w:szCs w:val="22"/>
        </w:rPr>
      </w:pPr>
    </w:p>
    <w:p w14:paraId="2CE7E66E" w14:textId="7EC639A0" w:rsidR="00093EA9" w:rsidRPr="00454E8A" w:rsidRDefault="00AD4DAD" w:rsidP="00EC7CB7">
      <w:pPr>
        <w:tabs>
          <w:tab w:val="left" w:pos="720"/>
        </w:tabs>
        <w:ind w:left="0" w:firstLine="360"/>
        <w:rPr>
          <w:szCs w:val="22"/>
        </w:rPr>
      </w:pPr>
      <w:r>
        <w:rPr>
          <w:rFonts w:cs="Arial"/>
        </w:rPr>
        <w:tab/>
      </w:r>
      <w:r w:rsidR="00093EA9" w:rsidRPr="00BE15DE">
        <w:rPr>
          <w:rFonts w:cs="Arial"/>
        </w:rPr>
        <w:fldChar w:fldCharType="begin">
          <w:ffData>
            <w:name w:val="Check16"/>
            <w:enabled/>
            <w:calcOnExit w:val="0"/>
            <w:checkBox>
              <w:sizeAuto/>
              <w:default w:val="0"/>
            </w:checkBox>
          </w:ffData>
        </w:fldChar>
      </w:r>
      <w:r w:rsidR="00093EA9" w:rsidRPr="00BE15DE">
        <w:rPr>
          <w:rFonts w:cs="Arial"/>
        </w:rPr>
        <w:instrText xml:space="preserve"> FORMCHECKBOX </w:instrText>
      </w:r>
      <w:r w:rsidR="001D001F">
        <w:rPr>
          <w:rFonts w:cs="Arial"/>
        </w:rPr>
      </w:r>
      <w:r w:rsidR="001D001F">
        <w:rPr>
          <w:rFonts w:cs="Arial"/>
        </w:rPr>
        <w:fldChar w:fldCharType="separate"/>
      </w:r>
      <w:r w:rsidR="00093EA9" w:rsidRPr="00BE15DE">
        <w:rPr>
          <w:rFonts w:cs="Arial"/>
        </w:rPr>
        <w:fldChar w:fldCharType="end"/>
      </w:r>
      <w:r w:rsidR="00093EA9" w:rsidRPr="00D324CF">
        <w:rPr>
          <w:rFonts w:cs="Arial"/>
        </w:rPr>
        <w:t xml:space="preserve"> </w:t>
      </w:r>
      <w:r w:rsidR="00F8032B">
        <w:rPr>
          <w:rFonts w:cs="Arial"/>
          <w:i/>
        </w:rPr>
        <w:t xml:space="preserve">Required. </w:t>
      </w:r>
      <w:r w:rsidR="00093EA9" w:rsidRPr="00454E8A">
        <w:rPr>
          <w:szCs w:val="22"/>
        </w:rPr>
        <w:t xml:space="preserve">Individual VOCs </w:t>
      </w:r>
      <w:r w:rsidR="00093EA9">
        <w:rPr>
          <w:szCs w:val="22"/>
        </w:rPr>
        <w:t>are &lt;</w:t>
      </w:r>
      <w:r w:rsidR="00093EA9" w:rsidRPr="00454E8A">
        <w:rPr>
          <w:szCs w:val="22"/>
        </w:rPr>
        <w:t xml:space="preserve">(0.01) x [the </w:t>
      </w:r>
      <w:r w:rsidR="00093EA9">
        <w:rPr>
          <w:szCs w:val="22"/>
        </w:rPr>
        <w:t>lower of the TLV or MAK value].</w:t>
      </w:r>
    </w:p>
    <w:p w14:paraId="577FCDEB" w14:textId="77777777" w:rsidR="00093EA9" w:rsidRPr="00946889" w:rsidRDefault="00093EA9" w:rsidP="00EC7CB7">
      <w:pPr>
        <w:tabs>
          <w:tab w:val="left" w:pos="720"/>
        </w:tabs>
        <w:ind w:left="0"/>
        <w:rPr>
          <w:b/>
          <w:szCs w:val="22"/>
        </w:rPr>
      </w:pPr>
    </w:p>
    <w:p w14:paraId="10905B66" w14:textId="548589A1" w:rsidR="00093EA9" w:rsidRPr="00371FFB" w:rsidRDefault="00093EA9" w:rsidP="00497999">
      <w:pPr>
        <w:tabs>
          <w:tab w:val="left" w:pos="720"/>
        </w:tabs>
        <w:ind w:left="720"/>
        <w:rPr>
          <w:b/>
          <w:szCs w:val="22"/>
        </w:rPr>
      </w:pPr>
      <w:r w:rsidRPr="00946889">
        <w:rPr>
          <w:b/>
          <w:szCs w:val="22"/>
        </w:rPr>
        <w:t>Target VOCs</w:t>
      </w:r>
    </w:p>
    <w:p w14:paraId="4AC364F5" w14:textId="5D701A6E" w:rsidR="007323AF" w:rsidRDefault="00093EA9" w:rsidP="00E80537">
      <w:pPr>
        <w:tabs>
          <w:tab w:val="left" w:pos="990"/>
        </w:tabs>
        <w:ind w:left="990" w:hanging="270"/>
        <w:rPr>
          <w:szCs w:val="22"/>
        </w:rPr>
      </w:pPr>
      <w:r w:rsidRPr="00BE15DE">
        <w:rPr>
          <w:rFonts w:cs="Arial"/>
        </w:rPr>
        <w:fldChar w:fldCharType="begin">
          <w:ffData>
            <w:name w:val="Check16"/>
            <w:enabled/>
            <w:calcOnExit w:val="0"/>
            <w:checkBox>
              <w:sizeAuto/>
              <w:default w:val="0"/>
            </w:checkBox>
          </w:ffData>
        </w:fldChar>
      </w:r>
      <w:r w:rsidRPr="00BE15DE">
        <w:rPr>
          <w:rFonts w:cs="Arial"/>
        </w:rPr>
        <w:instrText xml:space="preserve"> FORMCHECKBOX </w:instrText>
      </w:r>
      <w:r w:rsidR="001D001F">
        <w:rPr>
          <w:rFonts w:cs="Arial"/>
        </w:rPr>
      </w:r>
      <w:r w:rsidR="001D001F">
        <w:rPr>
          <w:rFonts w:cs="Arial"/>
        </w:rPr>
        <w:fldChar w:fldCharType="separate"/>
      </w:r>
      <w:r w:rsidRPr="00BE15DE">
        <w:rPr>
          <w:rFonts w:cs="Arial"/>
        </w:rPr>
        <w:fldChar w:fldCharType="end"/>
      </w:r>
      <w:r w:rsidRPr="00D324CF">
        <w:rPr>
          <w:rFonts w:cs="Arial"/>
        </w:rPr>
        <w:t xml:space="preserve"> </w:t>
      </w:r>
      <w:r w:rsidR="00371FFB">
        <w:rPr>
          <w:rFonts w:cs="Arial"/>
          <w:i/>
        </w:rPr>
        <w:t xml:space="preserve">Required. </w:t>
      </w:r>
      <w:r w:rsidRPr="00974BEE">
        <w:rPr>
          <w:szCs w:val="22"/>
        </w:rPr>
        <w:t xml:space="preserve">The VOCs with established Chronic Reference Exposure Levels (CRELs) listed in the </w:t>
      </w:r>
      <w:hyperlink r:id="rId8" w:history="1">
        <w:r w:rsidRPr="00996B52">
          <w:rPr>
            <w:rStyle w:val="Hyperlink"/>
            <w:szCs w:val="22"/>
          </w:rPr>
          <w:t>California Department of Public Health's (CDPH) Standard Method v1.1-2010</w:t>
        </w:r>
      </w:hyperlink>
      <w:r w:rsidRPr="00974BEE">
        <w:rPr>
          <w:szCs w:val="22"/>
        </w:rPr>
        <w:t xml:space="preserve"> </w:t>
      </w:r>
      <w:r>
        <w:rPr>
          <w:szCs w:val="22"/>
        </w:rPr>
        <w:t xml:space="preserve">were </w:t>
      </w:r>
      <w:r w:rsidRPr="00974BEE">
        <w:rPr>
          <w:szCs w:val="22"/>
        </w:rPr>
        <w:t>included in emissions testing.</w:t>
      </w:r>
    </w:p>
    <w:p w14:paraId="4BF04C9F" w14:textId="77777777" w:rsidR="00E254C5" w:rsidRDefault="00E254C5" w:rsidP="00EC7CB7">
      <w:pPr>
        <w:tabs>
          <w:tab w:val="left" w:pos="720"/>
        </w:tabs>
        <w:ind w:left="720" w:hanging="360"/>
        <w:rPr>
          <w:szCs w:val="22"/>
        </w:rPr>
      </w:pPr>
    </w:p>
    <w:p w14:paraId="26D3206A" w14:textId="77777777" w:rsidR="00E254C5" w:rsidRPr="008A5F4A" w:rsidRDefault="00E254C5" w:rsidP="008A5F4A">
      <w:pPr>
        <w:ind w:left="360" w:firstLine="360"/>
        <w:rPr>
          <w:b/>
          <w:szCs w:val="22"/>
        </w:rPr>
      </w:pPr>
      <w:r w:rsidRPr="008A5F4A">
        <w:rPr>
          <w:b/>
          <w:szCs w:val="22"/>
        </w:rPr>
        <w:t>Other</w:t>
      </w:r>
    </w:p>
    <w:p w14:paraId="0C8F3EE7" w14:textId="77777777" w:rsidR="00E254C5" w:rsidRDefault="00E254C5" w:rsidP="008A5F4A">
      <w:pPr>
        <w:ind w:left="360" w:firstLine="360"/>
        <w:rPr>
          <w:i/>
          <w:sz w:val="22"/>
          <w:szCs w:val="22"/>
        </w:rPr>
      </w:pPr>
      <w:r>
        <w:rPr>
          <w:i/>
          <w:sz w:val="22"/>
          <w:szCs w:val="22"/>
        </w:rPr>
        <w:t>Check all that apply.</w:t>
      </w:r>
    </w:p>
    <w:p w14:paraId="6E6CE6D4" w14:textId="77777777" w:rsidR="00E254C5" w:rsidRDefault="00E254C5" w:rsidP="00E254C5">
      <w:pPr>
        <w:ind w:left="360" w:hanging="360"/>
        <w:rPr>
          <w:i/>
          <w:sz w:val="22"/>
          <w:szCs w:val="22"/>
        </w:rPr>
      </w:pPr>
    </w:p>
    <w:p w14:paraId="62E034B8" w14:textId="591A4D71" w:rsidR="00E254C5" w:rsidRDefault="00E254C5" w:rsidP="008A5F4A">
      <w:pPr>
        <w:ind w:left="0" w:right="360" w:firstLine="720"/>
        <w:jc w:val="both"/>
        <w:rPr>
          <w:rFonts w:eastAsia="Calibri" w:cs="Arial"/>
          <w:szCs w:val="20"/>
        </w:rPr>
      </w:pPr>
      <w:r w:rsidRPr="00BE15DE">
        <w:rPr>
          <w:rFonts w:cs="Arial"/>
        </w:rPr>
        <w:fldChar w:fldCharType="begin">
          <w:ffData>
            <w:name w:val="Check16"/>
            <w:enabled/>
            <w:calcOnExit w:val="0"/>
            <w:checkBox>
              <w:sizeAuto/>
              <w:default w:val="0"/>
            </w:checkBox>
          </w:ffData>
        </w:fldChar>
      </w:r>
      <w:r w:rsidRPr="00BE15DE">
        <w:rPr>
          <w:rFonts w:cs="Arial"/>
        </w:rPr>
        <w:instrText xml:space="preserve"> FORMCHECKBOX </w:instrText>
      </w:r>
      <w:r w:rsidR="001D001F">
        <w:rPr>
          <w:rFonts w:cs="Arial"/>
        </w:rPr>
      </w:r>
      <w:r w:rsidR="001D001F">
        <w:rPr>
          <w:rFonts w:cs="Arial"/>
        </w:rPr>
        <w:fldChar w:fldCharType="separate"/>
      </w:r>
      <w:r w:rsidRPr="00BE15DE">
        <w:rPr>
          <w:rFonts w:cs="Arial"/>
        </w:rPr>
        <w:fldChar w:fldCharType="end"/>
      </w:r>
      <w:r w:rsidRPr="00D324CF">
        <w:rPr>
          <w:rFonts w:cs="Arial"/>
        </w:rPr>
        <w:t xml:space="preserve"> </w:t>
      </w:r>
      <w:r w:rsidR="00746B45">
        <w:rPr>
          <w:rFonts w:cs="Arial"/>
          <w:i/>
        </w:rPr>
        <w:t xml:space="preserve">Required. </w:t>
      </w:r>
      <w:r w:rsidRPr="00E61821">
        <w:rPr>
          <w:rFonts w:eastAsia="Calibri" w:cs="Arial"/>
          <w:szCs w:val="20"/>
        </w:rPr>
        <w:t>T</w:t>
      </w:r>
      <w:r>
        <w:rPr>
          <w:rFonts w:eastAsia="Calibri" w:cs="Arial"/>
          <w:szCs w:val="20"/>
        </w:rPr>
        <w:t>he t</w:t>
      </w:r>
      <w:r w:rsidRPr="00E61821">
        <w:rPr>
          <w:rFonts w:eastAsia="Calibri" w:cs="Arial"/>
          <w:szCs w:val="20"/>
        </w:rPr>
        <w:t xml:space="preserve">ime </w:t>
      </w:r>
      <w:r>
        <w:rPr>
          <w:rFonts w:eastAsia="Calibri" w:cs="Arial"/>
          <w:szCs w:val="20"/>
        </w:rPr>
        <w:t>p</w:t>
      </w:r>
      <w:r w:rsidRPr="00E61821">
        <w:rPr>
          <w:rFonts w:eastAsia="Calibri" w:cs="Arial"/>
          <w:szCs w:val="20"/>
        </w:rPr>
        <w:t>oint</w:t>
      </w:r>
      <w:r>
        <w:rPr>
          <w:rFonts w:eastAsia="Calibri" w:cs="Arial"/>
          <w:szCs w:val="20"/>
        </w:rPr>
        <w:t xml:space="preserve"> used was</w:t>
      </w:r>
      <w:r w:rsidRPr="00E61821">
        <w:rPr>
          <w:rFonts w:eastAsia="Calibri" w:cs="Arial"/>
          <w:szCs w:val="20"/>
        </w:rPr>
        <w:t xml:space="preserve"> 7 days for VOCs and IVOCs</w:t>
      </w:r>
      <w:r>
        <w:rPr>
          <w:rFonts w:eastAsia="Calibri" w:cs="Arial"/>
          <w:szCs w:val="20"/>
        </w:rPr>
        <w:t>.</w:t>
      </w:r>
    </w:p>
    <w:p w14:paraId="4E5371A7" w14:textId="77777777" w:rsidR="00E254C5" w:rsidRDefault="00E254C5" w:rsidP="00E254C5">
      <w:pPr>
        <w:ind w:left="0" w:right="360"/>
        <w:jc w:val="both"/>
        <w:rPr>
          <w:rFonts w:eastAsia="Calibri" w:cs="Arial"/>
          <w:szCs w:val="20"/>
        </w:rPr>
      </w:pPr>
    </w:p>
    <w:p w14:paraId="723BE257" w14:textId="343E78DB" w:rsidR="00E254C5" w:rsidRDefault="00E254C5" w:rsidP="008A5F4A">
      <w:pPr>
        <w:ind w:left="0" w:right="360" w:firstLine="720"/>
        <w:jc w:val="both"/>
        <w:rPr>
          <w:rFonts w:cs="Arial"/>
          <w:szCs w:val="20"/>
        </w:rPr>
      </w:pPr>
      <w:r w:rsidRPr="00BE15DE">
        <w:rPr>
          <w:rFonts w:cs="Arial"/>
        </w:rPr>
        <w:fldChar w:fldCharType="begin">
          <w:ffData>
            <w:name w:val="Check16"/>
            <w:enabled/>
            <w:calcOnExit w:val="0"/>
            <w:checkBox>
              <w:sizeAuto/>
              <w:default w:val="0"/>
            </w:checkBox>
          </w:ffData>
        </w:fldChar>
      </w:r>
      <w:r w:rsidRPr="00BE15DE">
        <w:rPr>
          <w:rFonts w:cs="Arial"/>
        </w:rPr>
        <w:instrText xml:space="preserve"> FORMCHECKBOX </w:instrText>
      </w:r>
      <w:r w:rsidR="001D001F">
        <w:rPr>
          <w:rFonts w:cs="Arial"/>
        </w:rPr>
      </w:r>
      <w:r w:rsidR="001D001F">
        <w:rPr>
          <w:rFonts w:cs="Arial"/>
        </w:rPr>
        <w:fldChar w:fldCharType="separate"/>
      </w:r>
      <w:r w:rsidRPr="00BE15DE">
        <w:rPr>
          <w:rFonts w:cs="Arial"/>
        </w:rPr>
        <w:fldChar w:fldCharType="end"/>
      </w:r>
      <w:r w:rsidRPr="00D324CF">
        <w:rPr>
          <w:rFonts w:cs="Arial"/>
        </w:rPr>
        <w:t xml:space="preserve"> </w:t>
      </w:r>
      <w:r w:rsidR="00746B45">
        <w:rPr>
          <w:rFonts w:cs="Arial"/>
          <w:i/>
        </w:rPr>
        <w:t xml:space="preserve">Required. </w:t>
      </w:r>
      <w:r w:rsidRPr="00BA7141">
        <w:rPr>
          <w:rFonts w:cs="Arial"/>
          <w:szCs w:val="20"/>
        </w:rPr>
        <w:t>The an</w:t>
      </w:r>
      <w:r>
        <w:rPr>
          <w:rFonts w:cs="Arial"/>
          <w:szCs w:val="20"/>
        </w:rPr>
        <w:t>alytical laboratory used is</w:t>
      </w:r>
      <w:r w:rsidRPr="00BA7141">
        <w:rPr>
          <w:rFonts w:cs="Arial"/>
          <w:szCs w:val="20"/>
        </w:rPr>
        <w:t xml:space="preserve"> ISO 17025 </w:t>
      </w:r>
      <w:r>
        <w:rPr>
          <w:rFonts w:cs="Arial"/>
          <w:szCs w:val="20"/>
        </w:rPr>
        <w:t>accredited</w:t>
      </w:r>
      <w:r w:rsidRPr="00BA7141">
        <w:rPr>
          <w:rFonts w:cs="Arial"/>
          <w:szCs w:val="20"/>
        </w:rPr>
        <w:t>.</w:t>
      </w:r>
    </w:p>
    <w:p w14:paraId="5CB85A3C" w14:textId="77777777" w:rsidR="00E254C5" w:rsidRPr="00DB3020" w:rsidRDefault="00E254C5" w:rsidP="00EC7CB7">
      <w:pPr>
        <w:tabs>
          <w:tab w:val="left" w:pos="720"/>
        </w:tabs>
        <w:ind w:left="720" w:hanging="360"/>
        <w:rPr>
          <w:szCs w:val="22"/>
        </w:rPr>
      </w:pPr>
    </w:p>
    <w:sectPr w:rsidR="00E254C5" w:rsidRPr="00DB3020" w:rsidSect="00605E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CD8AA" w14:textId="77777777" w:rsidR="001D001F" w:rsidRDefault="001D001F" w:rsidP="002175AB">
      <w:r>
        <w:separator/>
      </w:r>
    </w:p>
  </w:endnote>
  <w:endnote w:type="continuationSeparator" w:id="0">
    <w:p w14:paraId="50DED65D" w14:textId="77777777" w:rsidR="001D001F" w:rsidRDefault="001D001F" w:rsidP="002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C8BA" w14:textId="20E8386D" w:rsidR="002175AB" w:rsidRDefault="002175AB" w:rsidP="002175AB">
    <w:pPr>
      <w:pStyle w:val="Footer"/>
      <w:jc w:val="right"/>
    </w:pPr>
    <w:r>
      <w:t xml:space="preserve">Externally Managed Component Form / Effective December 8, 2015 / Approved by M. Kausch / Page </w:t>
    </w:r>
    <w:r>
      <w:rPr>
        <w:rStyle w:val="PageNumber"/>
      </w:rPr>
      <w:fldChar w:fldCharType="begin"/>
    </w:r>
    <w:r>
      <w:rPr>
        <w:rStyle w:val="PageNumber"/>
      </w:rPr>
      <w:instrText xml:space="preserve">PAGE  </w:instrText>
    </w:r>
    <w:r>
      <w:rPr>
        <w:rStyle w:val="PageNumber"/>
      </w:rPr>
      <w:fldChar w:fldCharType="separate"/>
    </w:r>
    <w:r w:rsidR="001D001F">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6740D" w14:textId="77777777" w:rsidR="001D001F" w:rsidRDefault="001D001F" w:rsidP="002175AB">
      <w:r>
        <w:separator/>
      </w:r>
    </w:p>
  </w:footnote>
  <w:footnote w:type="continuationSeparator" w:id="0">
    <w:p w14:paraId="4D3D663D" w14:textId="77777777" w:rsidR="001D001F" w:rsidRDefault="001D001F" w:rsidP="002175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47D93"/>
    <w:multiLevelType w:val="multilevel"/>
    <w:tmpl w:val="84BA5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cumentProtection w:edit="forms" w:enforcement="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5B"/>
    <w:rsid w:val="0000007A"/>
    <w:rsid w:val="00006F00"/>
    <w:rsid w:val="00025D41"/>
    <w:rsid w:val="000373BF"/>
    <w:rsid w:val="00046C59"/>
    <w:rsid w:val="00060859"/>
    <w:rsid w:val="000619B3"/>
    <w:rsid w:val="00067022"/>
    <w:rsid w:val="00074687"/>
    <w:rsid w:val="00082E7F"/>
    <w:rsid w:val="00090330"/>
    <w:rsid w:val="00093EA9"/>
    <w:rsid w:val="000A2563"/>
    <w:rsid w:val="000A40C4"/>
    <w:rsid w:val="000C3110"/>
    <w:rsid w:val="000C5BBB"/>
    <w:rsid w:val="000D2DCC"/>
    <w:rsid w:val="000D5FE8"/>
    <w:rsid w:val="000F2B3D"/>
    <w:rsid w:val="00106096"/>
    <w:rsid w:val="001440FE"/>
    <w:rsid w:val="001635E5"/>
    <w:rsid w:val="00173A45"/>
    <w:rsid w:val="00196A25"/>
    <w:rsid w:val="001A1E5F"/>
    <w:rsid w:val="001A71E9"/>
    <w:rsid w:val="001D001F"/>
    <w:rsid w:val="001D6873"/>
    <w:rsid w:val="001F1623"/>
    <w:rsid w:val="001F1FF9"/>
    <w:rsid w:val="001F4725"/>
    <w:rsid w:val="00206232"/>
    <w:rsid w:val="00210699"/>
    <w:rsid w:val="002175AB"/>
    <w:rsid w:val="0022015D"/>
    <w:rsid w:val="00227768"/>
    <w:rsid w:val="00227C35"/>
    <w:rsid w:val="0023324E"/>
    <w:rsid w:val="00242B97"/>
    <w:rsid w:val="00247FBB"/>
    <w:rsid w:val="00256689"/>
    <w:rsid w:val="002741ED"/>
    <w:rsid w:val="00285BBF"/>
    <w:rsid w:val="00297DF4"/>
    <w:rsid w:val="002B711D"/>
    <w:rsid w:val="002C09A8"/>
    <w:rsid w:val="002E27A6"/>
    <w:rsid w:val="002E4ECF"/>
    <w:rsid w:val="002F4F7D"/>
    <w:rsid w:val="0031021C"/>
    <w:rsid w:val="0031788D"/>
    <w:rsid w:val="00322416"/>
    <w:rsid w:val="00327162"/>
    <w:rsid w:val="00334BB0"/>
    <w:rsid w:val="00340867"/>
    <w:rsid w:val="00343A74"/>
    <w:rsid w:val="00346414"/>
    <w:rsid w:val="00352242"/>
    <w:rsid w:val="0035533F"/>
    <w:rsid w:val="003670A4"/>
    <w:rsid w:val="00371FFB"/>
    <w:rsid w:val="003746BD"/>
    <w:rsid w:val="00375E70"/>
    <w:rsid w:val="00385D66"/>
    <w:rsid w:val="003A51E8"/>
    <w:rsid w:val="003A7769"/>
    <w:rsid w:val="003C1E7D"/>
    <w:rsid w:val="003C55A7"/>
    <w:rsid w:val="003C581B"/>
    <w:rsid w:val="003E7BBA"/>
    <w:rsid w:val="00400566"/>
    <w:rsid w:val="00404391"/>
    <w:rsid w:val="0040647F"/>
    <w:rsid w:val="00407D7B"/>
    <w:rsid w:val="004475F2"/>
    <w:rsid w:val="00450C78"/>
    <w:rsid w:val="00452119"/>
    <w:rsid w:val="004601A6"/>
    <w:rsid w:val="00467B2A"/>
    <w:rsid w:val="00476E3D"/>
    <w:rsid w:val="004774E5"/>
    <w:rsid w:val="004807FD"/>
    <w:rsid w:val="004865C5"/>
    <w:rsid w:val="00487534"/>
    <w:rsid w:val="00490877"/>
    <w:rsid w:val="00497999"/>
    <w:rsid w:val="004C1796"/>
    <w:rsid w:val="004C32B5"/>
    <w:rsid w:val="004C4725"/>
    <w:rsid w:val="004D4C23"/>
    <w:rsid w:val="004E614B"/>
    <w:rsid w:val="004F51E7"/>
    <w:rsid w:val="00502801"/>
    <w:rsid w:val="005218B3"/>
    <w:rsid w:val="0056339D"/>
    <w:rsid w:val="005D2F45"/>
    <w:rsid w:val="005E1D38"/>
    <w:rsid w:val="005E3E79"/>
    <w:rsid w:val="005F2D42"/>
    <w:rsid w:val="00601652"/>
    <w:rsid w:val="00605ECA"/>
    <w:rsid w:val="00646B1A"/>
    <w:rsid w:val="00657DFE"/>
    <w:rsid w:val="00666553"/>
    <w:rsid w:val="00675972"/>
    <w:rsid w:val="00690E40"/>
    <w:rsid w:val="00697A56"/>
    <w:rsid w:val="006A2570"/>
    <w:rsid w:val="006C366F"/>
    <w:rsid w:val="006C3B82"/>
    <w:rsid w:val="006C7484"/>
    <w:rsid w:val="006E3443"/>
    <w:rsid w:val="007037DF"/>
    <w:rsid w:val="00704FEB"/>
    <w:rsid w:val="00724056"/>
    <w:rsid w:val="007323AF"/>
    <w:rsid w:val="007334D0"/>
    <w:rsid w:val="007448DA"/>
    <w:rsid w:val="00745321"/>
    <w:rsid w:val="00746B45"/>
    <w:rsid w:val="007610AD"/>
    <w:rsid w:val="00777417"/>
    <w:rsid w:val="00781200"/>
    <w:rsid w:val="00786033"/>
    <w:rsid w:val="007A2227"/>
    <w:rsid w:val="007D5B26"/>
    <w:rsid w:val="007E2C4C"/>
    <w:rsid w:val="007F7E94"/>
    <w:rsid w:val="008048A0"/>
    <w:rsid w:val="00805173"/>
    <w:rsid w:val="00810719"/>
    <w:rsid w:val="0081084B"/>
    <w:rsid w:val="00826F24"/>
    <w:rsid w:val="00834160"/>
    <w:rsid w:val="0083548D"/>
    <w:rsid w:val="00873915"/>
    <w:rsid w:val="00881E39"/>
    <w:rsid w:val="00883A14"/>
    <w:rsid w:val="0088657A"/>
    <w:rsid w:val="00897C30"/>
    <w:rsid w:val="008A28F7"/>
    <w:rsid w:val="008A5F4A"/>
    <w:rsid w:val="008A607A"/>
    <w:rsid w:val="008B4469"/>
    <w:rsid w:val="008D5A65"/>
    <w:rsid w:val="008E7FEB"/>
    <w:rsid w:val="009129C5"/>
    <w:rsid w:val="00920EB0"/>
    <w:rsid w:val="00921B06"/>
    <w:rsid w:val="009227D4"/>
    <w:rsid w:val="00954ACD"/>
    <w:rsid w:val="00963160"/>
    <w:rsid w:val="00980170"/>
    <w:rsid w:val="00991C31"/>
    <w:rsid w:val="00992ABC"/>
    <w:rsid w:val="009A394D"/>
    <w:rsid w:val="009A4295"/>
    <w:rsid w:val="009B0495"/>
    <w:rsid w:val="009B29A1"/>
    <w:rsid w:val="009B6D45"/>
    <w:rsid w:val="009C274B"/>
    <w:rsid w:val="009D4A3B"/>
    <w:rsid w:val="009D75AE"/>
    <w:rsid w:val="009F16A5"/>
    <w:rsid w:val="009F751C"/>
    <w:rsid w:val="00A333BC"/>
    <w:rsid w:val="00A33430"/>
    <w:rsid w:val="00A6244F"/>
    <w:rsid w:val="00A959CE"/>
    <w:rsid w:val="00AA11C5"/>
    <w:rsid w:val="00AB5526"/>
    <w:rsid w:val="00AB6809"/>
    <w:rsid w:val="00AC0334"/>
    <w:rsid w:val="00AD4DAD"/>
    <w:rsid w:val="00AD6440"/>
    <w:rsid w:val="00AE7B96"/>
    <w:rsid w:val="00AF35A5"/>
    <w:rsid w:val="00AF62FD"/>
    <w:rsid w:val="00B1009C"/>
    <w:rsid w:val="00B11E4F"/>
    <w:rsid w:val="00B42F49"/>
    <w:rsid w:val="00B43F78"/>
    <w:rsid w:val="00B513E5"/>
    <w:rsid w:val="00B56550"/>
    <w:rsid w:val="00B71C16"/>
    <w:rsid w:val="00B8042D"/>
    <w:rsid w:val="00B84CD5"/>
    <w:rsid w:val="00B94B76"/>
    <w:rsid w:val="00BA6FD6"/>
    <w:rsid w:val="00BD37B6"/>
    <w:rsid w:val="00BD4C39"/>
    <w:rsid w:val="00BF067D"/>
    <w:rsid w:val="00BF5241"/>
    <w:rsid w:val="00C14F28"/>
    <w:rsid w:val="00C15955"/>
    <w:rsid w:val="00C2325A"/>
    <w:rsid w:val="00C33A14"/>
    <w:rsid w:val="00C33C09"/>
    <w:rsid w:val="00C35171"/>
    <w:rsid w:val="00C46853"/>
    <w:rsid w:val="00C522CE"/>
    <w:rsid w:val="00C52D51"/>
    <w:rsid w:val="00C53005"/>
    <w:rsid w:val="00C912C0"/>
    <w:rsid w:val="00C93D06"/>
    <w:rsid w:val="00CA6A38"/>
    <w:rsid w:val="00CA7EB2"/>
    <w:rsid w:val="00CC4A7A"/>
    <w:rsid w:val="00CD6CF1"/>
    <w:rsid w:val="00CD74EC"/>
    <w:rsid w:val="00CE0BB2"/>
    <w:rsid w:val="00CE4A3B"/>
    <w:rsid w:val="00D425D8"/>
    <w:rsid w:val="00D52275"/>
    <w:rsid w:val="00D93059"/>
    <w:rsid w:val="00DB3020"/>
    <w:rsid w:val="00DB6AA6"/>
    <w:rsid w:val="00DD5316"/>
    <w:rsid w:val="00DD5B94"/>
    <w:rsid w:val="00DF41EB"/>
    <w:rsid w:val="00E254C5"/>
    <w:rsid w:val="00E352A5"/>
    <w:rsid w:val="00E62627"/>
    <w:rsid w:val="00E63B55"/>
    <w:rsid w:val="00E66304"/>
    <w:rsid w:val="00E66DD7"/>
    <w:rsid w:val="00E80537"/>
    <w:rsid w:val="00E86D78"/>
    <w:rsid w:val="00EA2A82"/>
    <w:rsid w:val="00EB4FC2"/>
    <w:rsid w:val="00EC7CB7"/>
    <w:rsid w:val="00ED5699"/>
    <w:rsid w:val="00EF0160"/>
    <w:rsid w:val="00EF08C6"/>
    <w:rsid w:val="00EF1E51"/>
    <w:rsid w:val="00EF43CA"/>
    <w:rsid w:val="00F010CC"/>
    <w:rsid w:val="00F03CB5"/>
    <w:rsid w:val="00F06292"/>
    <w:rsid w:val="00F13BC5"/>
    <w:rsid w:val="00F2168A"/>
    <w:rsid w:val="00F31CBA"/>
    <w:rsid w:val="00F34A25"/>
    <w:rsid w:val="00F40EDF"/>
    <w:rsid w:val="00F42200"/>
    <w:rsid w:val="00F43F2B"/>
    <w:rsid w:val="00F47875"/>
    <w:rsid w:val="00F61F5B"/>
    <w:rsid w:val="00F71961"/>
    <w:rsid w:val="00F71B1F"/>
    <w:rsid w:val="00F8032B"/>
    <w:rsid w:val="00F94E29"/>
    <w:rsid w:val="00F97E44"/>
    <w:rsid w:val="00FB522E"/>
    <w:rsid w:val="00FC1307"/>
    <w:rsid w:val="00FD2A89"/>
    <w:rsid w:val="00FF62B2"/>
    <w:rsid w:val="00FF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122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61F5B"/>
    <w:pPr>
      <w:ind w:left="1600"/>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1F5B"/>
    <w:rPr>
      <w:rFonts w:ascii="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F61F5B"/>
    <w:pPr>
      <w:spacing w:before="120"/>
      <w:ind w:left="0"/>
    </w:pPr>
    <w:rPr>
      <w:b/>
      <w:bCs/>
    </w:rPr>
  </w:style>
  <w:style w:type="paragraph" w:customStyle="1" w:styleId="HTMLBody">
    <w:name w:val="HTML Body"/>
    <w:rsid w:val="004807FD"/>
    <w:rPr>
      <w:rFonts w:ascii="Arial" w:eastAsia="Times New Roman" w:hAnsi="Arial" w:cs="Times New Roman"/>
    </w:rPr>
  </w:style>
  <w:style w:type="character" w:styleId="CommentReference">
    <w:name w:val="annotation reference"/>
    <w:basedOn w:val="DefaultParagraphFont"/>
    <w:uiPriority w:val="99"/>
    <w:semiHidden/>
    <w:unhideWhenUsed/>
    <w:rsid w:val="00093EA9"/>
    <w:rPr>
      <w:sz w:val="18"/>
      <w:szCs w:val="18"/>
    </w:rPr>
  </w:style>
  <w:style w:type="paragraph" w:styleId="CommentText">
    <w:name w:val="annotation text"/>
    <w:basedOn w:val="Normal"/>
    <w:link w:val="CommentTextChar"/>
    <w:uiPriority w:val="99"/>
    <w:semiHidden/>
    <w:unhideWhenUsed/>
    <w:rsid w:val="00093EA9"/>
  </w:style>
  <w:style w:type="character" w:customStyle="1" w:styleId="CommentTextChar">
    <w:name w:val="Comment Text Char"/>
    <w:basedOn w:val="DefaultParagraphFont"/>
    <w:link w:val="CommentText"/>
    <w:uiPriority w:val="99"/>
    <w:semiHidden/>
    <w:rsid w:val="00093EA9"/>
    <w:rPr>
      <w:rFonts w:ascii="Arial" w:eastAsia="Times New Roman" w:hAnsi="Arial" w:cs="Times New Roman"/>
    </w:rPr>
  </w:style>
  <w:style w:type="character" w:styleId="Hyperlink">
    <w:name w:val="Hyperlink"/>
    <w:basedOn w:val="DefaultParagraphFont"/>
    <w:uiPriority w:val="99"/>
    <w:unhideWhenUsed/>
    <w:rsid w:val="00093EA9"/>
    <w:rPr>
      <w:color w:val="0000FF" w:themeColor="hyperlink"/>
      <w:u w:val="single"/>
    </w:rPr>
  </w:style>
  <w:style w:type="paragraph" w:styleId="BalloonText">
    <w:name w:val="Balloon Text"/>
    <w:basedOn w:val="Normal"/>
    <w:link w:val="BalloonTextChar"/>
    <w:uiPriority w:val="99"/>
    <w:semiHidden/>
    <w:unhideWhenUsed/>
    <w:rsid w:val="00093E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3EA9"/>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A2563"/>
    <w:rPr>
      <w:b/>
      <w:bCs/>
      <w:sz w:val="20"/>
      <w:szCs w:val="20"/>
    </w:rPr>
  </w:style>
  <w:style w:type="character" w:customStyle="1" w:styleId="CommentSubjectChar">
    <w:name w:val="Comment Subject Char"/>
    <w:basedOn w:val="CommentTextChar"/>
    <w:link w:val="CommentSubject"/>
    <w:uiPriority w:val="99"/>
    <w:semiHidden/>
    <w:rsid w:val="000A2563"/>
    <w:rPr>
      <w:rFonts w:ascii="Arial" w:eastAsia="Times New Roman" w:hAnsi="Arial" w:cs="Times New Roman"/>
      <w:b/>
      <w:bCs/>
      <w:sz w:val="20"/>
      <w:szCs w:val="20"/>
    </w:rPr>
  </w:style>
  <w:style w:type="paragraph" w:styleId="Header">
    <w:name w:val="header"/>
    <w:basedOn w:val="Normal"/>
    <w:link w:val="HeaderChar"/>
    <w:uiPriority w:val="99"/>
    <w:unhideWhenUsed/>
    <w:rsid w:val="002175AB"/>
    <w:pPr>
      <w:tabs>
        <w:tab w:val="center" w:pos="4680"/>
        <w:tab w:val="right" w:pos="9360"/>
      </w:tabs>
    </w:pPr>
  </w:style>
  <w:style w:type="character" w:customStyle="1" w:styleId="HeaderChar">
    <w:name w:val="Header Char"/>
    <w:basedOn w:val="DefaultParagraphFont"/>
    <w:link w:val="Header"/>
    <w:uiPriority w:val="99"/>
    <w:rsid w:val="002175AB"/>
    <w:rPr>
      <w:rFonts w:ascii="Arial" w:eastAsia="Times New Roman" w:hAnsi="Arial" w:cs="Times New Roman"/>
    </w:rPr>
  </w:style>
  <w:style w:type="paragraph" w:styleId="Footer">
    <w:name w:val="footer"/>
    <w:basedOn w:val="Normal"/>
    <w:link w:val="FooterChar"/>
    <w:uiPriority w:val="99"/>
    <w:unhideWhenUsed/>
    <w:rsid w:val="002175AB"/>
    <w:pPr>
      <w:tabs>
        <w:tab w:val="center" w:pos="4680"/>
        <w:tab w:val="right" w:pos="9360"/>
      </w:tabs>
    </w:pPr>
  </w:style>
  <w:style w:type="character" w:customStyle="1" w:styleId="FooterChar">
    <w:name w:val="Footer Char"/>
    <w:basedOn w:val="DefaultParagraphFont"/>
    <w:link w:val="Footer"/>
    <w:uiPriority w:val="99"/>
    <w:rsid w:val="002175AB"/>
    <w:rPr>
      <w:rFonts w:ascii="Arial" w:eastAsia="Times New Roman" w:hAnsi="Arial" w:cs="Times New Roman"/>
    </w:rPr>
  </w:style>
  <w:style w:type="character" w:styleId="PageNumber">
    <w:name w:val="page number"/>
    <w:basedOn w:val="DefaultParagraphFont"/>
    <w:uiPriority w:val="99"/>
    <w:semiHidden/>
    <w:unhideWhenUsed/>
    <w:rsid w:val="0021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998299">
      <w:bodyDiv w:val="1"/>
      <w:marLeft w:val="0"/>
      <w:marRight w:val="0"/>
      <w:marTop w:val="0"/>
      <w:marBottom w:val="0"/>
      <w:divBdr>
        <w:top w:val="none" w:sz="0" w:space="0" w:color="auto"/>
        <w:left w:val="none" w:sz="0" w:space="0" w:color="auto"/>
        <w:bottom w:val="none" w:sz="0" w:space="0" w:color="auto"/>
        <w:right w:val="none" w:sz="0" w:space="0" w:color="auto"/>
      </w:divBdr>
    </w:div>
    <w:div w:id="1163081294">
      <w:bodyDiv w:val="1"/>
      <w:marLeft w:val="0"/>
      <w:marRight w:val="0"/>
      <w:marTop w:val="0"/>
      <w:marBottom w:val="0"/>
      <w:divBdr>
        <w:top w:val="none" w:sz="0" w:space="0" w:color="auto"/>
        <w:left w:val="none" w:sz="0" w:space="0" w:color="auto"/>
        <w:bottom w:val="none" w:sz="0" w:space="0" w:color="auto"/>
        <w:right w:val="none" w:sz="0" w:space="0" w:color="auto"/>
      </w:divBdr>
      <w:divsChild>
        <w:div w:id="1322854456">
          <w:marLeft w:val="0"/>
          <w:marRight w:val="0"/>
          <w:marTop w:val="0"/>
          <w:marBottom w:val="0"/>
          <w:divBdr>
            <w:top w:val="none" w:sz="0" w:space="0" w:color="auto"/>
            <w:left w:val="none" w:sz="0" w:space="0" w:color="auto"/>
            <w:bottom w:val="none" w:sz="0" w:space="0" w:color="auto"/>
            <w:right w:val="none" w:sz="0" w:space="0" w:color="auto"/>
          </w:divBdr>
        </w:div>
        <w:div w:id="1965427840">
          <w:marLeft w:val="0"/>
          <w:marRight w:val="0"/>
          <w:marTop w:val="0"/>
          <w:marBottom w:val="0"/>
          <w:divBdr>
            <w:top w:val="none" w:sz="0" w:space="0" w:color="auto"/>
            <w:left w:val="none" w:sz="0" w:space="0" w:color="auto"/>
            <w:bottom w:val="none" w:sz="0" w:space="0" w:color="auto"/>
            <w:right w:val="none" w:sz="0" w:space="0" w:color="auto"/>
          </w:divBdr>
        </w:div>
        <w:div w:id="255796115">
          <w:marLeft w:val="0"/>
          <w:marRight w:val="0"/>
          <w:marTop w:val="0"/>
          <w:marBottom w:val="0"/>
          <w:divBdr>
            <w:top w:val="none" w:sz="0" w:space="0" w:color="auto"/>
            <w:left w:val="none" w:sz="0" w:space="0" w:color="auto"/>
            <w:bottom w:val="none" w:sz="0" w:space="0" w:color="auto"/>
            <w:right w:val="none" w:sz="0" w:space="0" w:color="auto"/>
          </w:divBdr>
        </w:div>
        <w:div w:id="1113210500">
          <w:marLeft w:val="0"/>
          <w:marRight w:val="0"/>
          <w:marTop w:val="0"/>
          <w:marBottom w:val="0"/>
          <w:divBdr>
            <w:top w:val="none" w:sz="0" w:space="0" w:color="auto"/>
            <w:left w:val="none" w:sz="0" w:space="0" w:color="auto"/>
            <w:bottom w:val="none" w:sz="0" w:space="0" w:color="auto"/>
            <w:right w:val="none" w:sz="0" w:space="0" w:color="auto"/>
          </w:divBdr>
        </w:div>
        <w:div w:id="1687561514">
          <w:marLeft w:val="0"/>
          <w:marRight w:val="0"/>
          <w:marTop w:val="0"/>
          <w:marBottom w:val="0"/>
          <w:divBdr>
            <w:top w:val="none" w:sz="0" w:space="0" w:color="auto"/>
            <w:left w:val="none" w:sz="0" w:space="0" w:color="auto"/>
            <w:bottom w:val="none" w:sz="0" w:space="0" w:color="auto"/>
            <w:right w:val="none" w:sz="0" w:space="0" w:color="auto"/>
          </w:divBdr>
        </w:div>
      </w:divsChild>
    </w:div>
    <w:div w:id="1254246185">
      <w:bodyDiv w:val="1"/>
      <w:marLeft w:val="0"/>
      <w:marRight w:val="0"/>
      <w:marTop w:val="0"/>
      <w:marBottom w:val="0"/>
      <w:divBdr>
        <w:top w:val="none" w:sz="0" w:space="0" w:color="auto"/>
        <w:left w:val="none" w:sz="0" w:space="0" w:color="auto"/>
        <w:bottom w:val="none" w:sz="0" w:space="0" w:color="auto"/>
        <w:right w:val="none" w:sz="0" w:space="0" w:color="auto"/>
      </w:divBdr>
      <w:divsChild>
        <w:div w:id="146171048">
          <w:marLeft w:val="0"/>
          <w:marRight w:val="0"/>
          <w:marTop w:val="0"/>
          <w:marBottom w:val="0"/>
          <w:divBdr>
            <w:top w:val="none" w:sz="0" w:space="0" w:color="auto"/>
            <w:left w:val="none" w:sz="0" w:space="0" w:color="auto"/>
            <w:bottom w:val="none" w:sz="0" w:space="0" w:color="auto"/>
            <w:right w:val="none" w:sz="0" w:space="0" w:color="auto"/>
          </w:divBdr>
        </w:div>
        <w:div w:id="602802238">
          <w:marLeft w:val="0"/>
          <w:marRight w:val="0"/>
          <w:marTop w:val="0"/>
          <w:marBottom w:val="0"/>
          <w:divBdr>
            <w:top w:val="none" w:sz="0" w:space="0" w:color="auto"/>
            <w:left w:val="none" w:sz="0" w:space="0" w:color="auto"/>
            <w:bottom w:val="none" w:sz="0" w:space="0" w:color="auto"/>
            <w:right w:val="none" w:sz="0" w:space="0" w:color="auto"/>
          </w:divBdr>
        </w:div>
        <w:div w:id="1018655606">
          <w:marLeft w:val="0"/>
          <w:marRight w:val="0"/>
          <w:marTop w:val="0"/>
          <w:marBottom w:val="0"/>
          <w:divBdr>
            <w:top w:val="none" w:sz="0" w:space="0" w:color="auto"/>
            <w:left w:val="none" w:sz="0" w:space="0" w:color="auto"/>
            <w:bottom w:val="none" w:sz="0" w:space="0" w:color="auto"/>
            <w:right w:val="none" w:sz="0" w:space="0" w:color="auto"/>
          </w:divBdr>
        </w:div>
        <w:div w:id="491071256">
          <w:marLeft w:val="0"/>
          <w:marRight w:val="0"/>
          <w:marTop w:val="0"/>
          <w:marBottom w:val="0"/>
          <w:divBdr>
            <w:top w:val="none" w:sz="0" w:space="0" w:color="auto"/>
            <w:left w:val="none" w:sz="0" w:space="0" w:color="auto"/>
            <w:bottom w:val="none" w:sz="0" w:space="0" w:color="auto"/>
            <w:right w:val="none" w:sz="0" w:space="0" w:color="auto"/>
          </w:divBdr>
        </w:div>
        <w:div w:id="1292248723">
          <w:marLeft w:val="0"/>
          <w:marRight w:val="0"/>
          <w:marTop w:val="0"/>
          <w:marBottom w:val="0"/>
          <w:divBdr>
            <w:top w:val="none" w:sz="0" w:space="0" w:color="auto"/>
            <w:left w:val="none" w:sz="0" w:space="0" w:color="auto"/>
            <w:bottom w:val="none" w:sz="0" w:space="0" w:color="auto"/>
            <w:right w:val="none" w:sz="0" w:space="0" w:color="auto"/>
          </w:divBdr>
        </w:div>
        <w:div w:id="685864810">
          <w:marLeft w:val="0"/>
          <w:marRight w:val="0"/>
          <w:marTop w:val="0"/>
          <w:marBottom w:val="0"/>
          <w:divBdr>
            <w:top w:val="none" w:sz="0" w:space="0" w:color="auto"/>
            <w:left w:val="none" w:sz="0" w:space="0" w:color="auto"/>
            <w:bottom w:val="none" w:sz="0" w:space="0" w:color="auto"/>
            <w:right w:val="none" w:sz="0" w:space="0" w:color="auto"/>
          </w:divBdr>
        </w:div>
      </w:divsChild>
    </w:div>
    <w:div w:id="1609392608">
      <w:bodyDiv w:val="1"/>
      <w:marLeft w:val="0"/>
      <w:marRight w:val="0"/>
      <w:marTop w:val="0"/>
      <w:marBottom w:val="0"/>
      <w:divBdr>
        <w:top w:val="none" w:sz="0" w:space="0" w:color="auto"/>
        <w:left w:val="none" w:sz="0" w:space="0" w:color="auto"/>
        <w:bottom w:val="none" w:sz="0" w:space="0" w:color="auto"/>
        <w:right w:val="none" w:sz="0" w:space="0" w:color="auto"/>
      </w:divBdr>
    </w:div>
    <w:div w:id="1852647126">
      <w:bodyDiv w:val="1"/>
      <w:marLeft w:val="0"/>
      <w:marRight w:val="0"/>
      <w:marTop w:val="0"/>
      <w:marBottom w:val="0"/>
      <w:divBdr>
        <w:top w:val="none" w:sz="0" w:space="0" w:color="auto"/>
        <w:left w:val="none" w:sz="0" w:space="0" w:color="auto"/>
        <w:bottom w:val="none" w:sz="0" w:space="0" w:color="auto"/>
        <w:right w:val="none" w:sz="0" w:space="0" w:color="auto"/>
      </w:divBdr>
      <w:divsChild>
        <w:div w:id="1898277065">
          <w:marLeft w:val="0"/>
          <w:marRight w:val="0"/>
          <w:marTop w:val="0"/>
          <w:marBottom w:val="0"/>
          <w:divBdr>
            <w:top w:val="none" w:sz="0" w:space="0" w:color="auto"/>
            <w:left w:val="none" w:sz="0" w:space="0" w:color="auto"/>
            <w:bottom w:val="none" w:sz="0" w:space="0" w:color="auto"/>
            <w:right w:val="none" w:sz="0" w:space="0" w:color="auto"/>
          </w:divBdr>
        </w:div>
        <w:div w:id="510411229">
          <w:marLeft w:val="0"/>
          <w:marRight w:val="0"/>
          <w:marTop w:val="0"/>
          <w:marBottom w:val="0"/>
          <w:divBdr>
            <w:top w:val="none" w:sz="0" w:space="0" w:color="auto"/>
            <w:left w:val="none" w:sz="0" w:space="0" w:color="auto"/>
            <w:bottom w:val="none" w:sz="0" w:space="0" w:color="auto"/>
            <w:right w:val="none" w:sz="0" w:space="0" w:color="auto"/>
          </w:divBdr>
        </w:div>
        <w:div w:id="1157574027">
          <w:marLeft w:val="0"/>
          <w:marRight w:val="0"/>
          <w:marTop w:val="0"/>
          <w:marBottom w:val="0"/>
          <w:divBdr>
            <w:top w:val="none" w:sz="0" w:space="0" w:color="auto"/>
            <w:left w:val="none" w:sz="0" w:space="0" w:color="auto"/>
            <w:bottom w:val="none" w:sz="0" w:space="0" w:color="auto"/>
            <w:right w:val="none" w:sz="0" w:space="0" w:color="auto"/>
          </w:divBdr>
        </w:div>
        <w:div w:id="1386296249">
          <w:marLeft w:val="0"/>
          <w:marRight w:val="0"/>
          <w:marTop w:val="0"/>
          <w:marBottom w:val="0"/>
          <w:divBdr>
            <w:top w:val="none" w:sz="0" w:space="0" w:color="auto"/>
            <w:left w:val="none" w:sz="0" w:space="0" w:color="auto"/>
            <w:bottom w:val="none" w:sz="0" w:space="0" w:color="auto"/>
            <w:right w:val="none" w:sz="0" w:space="0" w:color="auto"/>
          </w:divBdr>
        </w:div>
        <w:div w:id="1686201764">
          <w:marLeft w:val="0"/>
          <w:marRight w:val="0"/>
          <w:marTop w:val="0"/>
          <w:marBottom w:val="0"/>
          <w:divBdr>
            <w:top w:val="none" w:sz="0" w:space="0" w:color="auto"/>
            <w:left w:val="none" w:sz="0" w:space="0" w:color="auto"/>
            <w:bottom w:val="none" w:sz="0" w:space="0" w:color="auto"/>
            <w:right w:val="none" w:sz="0" w:space="0" w:color="auto"/>
          </w:divBdr>
        </w:div>
        <w:div w:id="1549341382">
          <w:marLeft w:val="0"/>
          <w:marRight w:val="0"/>
          <w:marTop w:val="0"/>
          <w:marBottom w:val="0"/>
          <w:divBdr>
            <w:top w:val="none" w:sz="0" w:space="0" w:color="auto"/>
            <w:left w:val="none" w:sz="0" w:space="0" w:color="auto"/>
            <w:bottom w:val="none" w:sz="0" w:space="0" w:color="auto"/>
            <w:right w:val="none" w:sz="0" w:space="0" w:color="auto"/>
          </w:divBdr>
        </w:div>
        <w:div w:id="1388724493">
          <w:marLeft w:val="0"/>
          <w:marRight w:val="0"/>
          <w:marTop w:val="0"/>
          <w:marBottom w:val="0"/>
          <w:divBdr>
            <w:top w:val="none" w:sz="0" w:space="0" w:color="auto"/>
            <w:left w:val="none" w:sz="0" w:space="0" w:color="auto"/>
            <w:bottom w:val="none" w:sz="0" w:space="0" w:color="auto"/>
            <w:right w:val="none" w:sz="0" w:space="0" w:color="auto"/>
          </w:divBdr>
        </w:div>
        <w:div w:id="996810557">
          <w:marLeft w:val="0"/>
          <w:marRight w:val="0"/>
          <w:marTop w:val="0"/>
          <w:marBottom w:val="0"/>
          <w:divBdr>
            <w:top w:val="none" w:sz="0" w:space="0" w:color="auto"/>
            <w:left w:val="none" w:sz="0" w:space="0" w:color="auto"/>
            <w:bottom w:val="none" w:sz="0" w:space="0" w:color="auto"/>
            <w:right w:val="none" w:sz="0" w:space="0" w:color="auto"/>
          </w:divBdr>
          <w:divsChild>
            <w:div w:id="697199580">
              <w:marLeft w:val="0"/>
              <w:marRight w:val="0"/>
              <w:marTop w:val="0"/>
              <w:marBottom w:val="0"/>
              <w:divBdr>
                <w:top w:val="none" w:sz="0" w:space="0" w:color="auto"/>
                <w:left w:val="none" w:sz="0" w:space="0" w:color="auto"/>
                <w:bottom w:val="none" w:sz="0" w:space="0" w:color="auto"/>
                <w:right w:val="none" w:sz="0" w:space="0" w:color="auto"/>
              </w:divBdr>
            </w:div>
            <w:div w:id="1908032711">
              <w:marLeft w:val="0"/>
              <w:marRight w:val="0"/>
              <w:marTop w:val="0"/>
              <w:marBottom w:val="0"/>
              <w:divBdr>
                <w:top w:val="none" w:sz="0" w:space="0" w:color="auto"/>
                <w:left w:val="none" w:sz="0" w:space="0" w:color="auto"/>
                <w:bottom w:val="none" w:sz="0" w:space="0" w:color="auto"/>
                <w:right w:val="none" w:sz="0" w:space="0" w:color="auto"/>
              </w:divBdr>
            </w:div>
            <w:div w:id="462501279">
              <w:marLeft w:val="0"/>
              <w:marRight w:val="0"/>
              <w:marTop w:val="0"/>
              <w:marBottom w:val="0"/>
              <w:divBdr>
                <w:top w:val="none" w:sz="0" w:space="0" w:color="auto"/>
                <w:left w:val="none" w:sz="0" w:space="0" w:color="auto"/>
                <w:bottom w:val="none" w:sz="0" w:space="0" w:color="auto"/>
                <w:right w:val="none" w:sz="0" w:space="0" w:color="auto"/>
              </w:divBdr>
            </w:div>
            <w:div w:id="705523488">
              <w:marLeft w:val="0"/>
              <w:marRight w:val="0"/>
              <w:marTop w:val="0"/>
              <w:marBottom w:val="0"/>
              <w:divBdr>
                <w:top w:val="none" w:sz="0" w:space="0" w:color="auto"/>
                <w:left w:val="none" w:sz="0" w:space="0" w:color="auto"/>
                <w:bottom w:val="none" w:sz="0" w:space="0" w:color="auto"/>
                <w:right w:val="none" w:sz="0" w:space="0" w:color="auto"/>
              </w:divBdr>
            </w:div>
          </w:divsChild>
        </w:div>
        <w:div w:id="46807068">
          <w:marLeft w:val="0"/>
          <w:marRight w:val="0"/>
          <w:marTop w:val="0"/>
          <w:marBottom w:val="0"/>
          <w:divBdr>
            <w:top w:val="none" w:sz="0" w:space="0" w:color="auto"/>
            <w:left w:val="none" w:sz="0" w:space="0" w:color="auto"/>
            <w:bottom w:val="none" w:sz="0" w:space="0" w:color="auto"/>
            <w:right w:val="none" w:sz="0" w:space="0" w:color="auto"/>
          </w:divBdr>
        </w:div>
        <w:div w:id="434907642">
          <w:marLeft w:val="0"/>
          <w:marRight w:val="0"/>
          <w:marTop w:val="0"/>
          <w:marBottom w:val="0"/>
          <w:divBdr>
            <w:top w:val="none" w:sz="0" w:space="0" w:color="auto"/>
            <w:left w:val="none" w:sz="0" w:space="0" w:color="auto"/>
            <w:bottom w:val="none" w:sz="0" w:space="0" w:color="auto"/>
            <w:right w:val="none" w:sz="0" w:space="0" w:color="auto"/>
          </w:divBdr>
        </w:div>
        <w:div w:id="1584878284">
          <w:marLeft w:val="0"/>
          <w:marRight w:val="0"/>
          <w:marTop w:val="0"/>
          <w:marBottom w:val="0"/>
          <w:divBdr>
            <w:top w:val="none" w:sz="0" w:space="0" w:color="auto"/>
            <w:left w:val="none" w:sz="0" w:space="0" w:color="auto"/>
            <w:bottom w:val="none" w:sz="0" w:space="0" w:color="auto"/>
            <w:right w:val="none" w:sz="0" w:space="0" w:color="auto"/>
          </w:divBdr>
        </w:div>
        <w:div w:id="1148381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cdph.ca.gov/programs/IAQ/Documents/cdph-iaq_standardmethod_v1_1_2010%20new1110.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819</Words>
  <Characters>4672</Characters>
  <Application>Microsoft Macintosh Word</Application>
  <DocSecurity>0</DocSecurity>
  <Lines>38</Lines>
  <Paragraphs>10</Paragraphs>
  <ScaleCrop>false</ScaleCrop>
  <Company>Cradle to Cradle Products Innovation Institute</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Gaston</dc:creator>
  <cp:keywords/>
  <dc:description/>
  <cp:lastModifiedBy>Ben Bezark</cp:lastModifiedBy>
  <cp:revision>5</cp:revision>
  <dcterms:created xsi:type="dcterms:W3CDTF">2015-11-24T00:30:00Z</dcterms:created>
  <dcterms:modified xsi:type="dcterms:W3CDTF">2016-09-09T20:38:00Z</dcterms:modified>
</cp:coreProperties>
</file>